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9623" w14:textId="4A556544" w:rsidR="00694D38" w:rsidRPr="00D82DB0" w:rsidRDefault="00694D38" w:rsidP="00DF3C57">
      <w:pPr>
        <w:rPr>
          <w:rFonts w:ascii="Cambria" w:hAnsi="Cambria" w:cstheme="minorHAnsi"/>
          <w:b/>
          <w:bCs/>
        </w:rPr>
      </w:pPr>
    </w:p>
    <w:p w14:paraId="433BE35F" w14:textId="77777777" w:rsidR="00D82DB0" w:rsidRPr="00D82DB0" w:rsidRDefault="00BC2015" w:rsidP="00033919">
      <w:pPr>
        <w:pBdr>
          <w:bottom w:val="single" w:sz="12" w:space="1" w:color="auto"/>
        </w:pBdr>
        <w:rPr>
          <w:rFonts w:ascii="Cambria" w:hAnsi="Cambria" w:cstheme="minorHAnsi"/>
        </w:rPr>
      </w:pPr>
      <w:r w:rsidRPr="00D82DB0">
        <w:rPr>
          <w:rFonts w:ascii="Cambria" w:hAnsi="Cambria" w:cstheme="minorHAnsi"/>
        </w:rPr>
        <w:t>[</w:t>
      </w:r>
      <w:r w:rsidR="00033919" w:rsidRPr="00D82DB0">
        <w:rPr>
          <w:rFonts w:ascii="Cambria" w:hAnsi="Cambria" w:cstheme="minorHAnsi"/>
        </w:rPr>
        <w:t>Note</w:t>
      </w:r>
      <w:r w:rsidR="006928AF" w:rsidRPr="00D82DB0">
        <w:rPr>
          <w:rFonts w:ascii="Cambria" w:hAnsi="Cambria" w:cstheme="minorHAnsi"/>
        </w:rPr>
        <w:t>s</w:t>
      </w:r>
      <w:r w:rsidR="00033919" w:rsidRPr="00D82DB0">
        <w:rPr>
          <w:rFonts w:ascii="Cambria" w:hAnsi="Cambria" w:cstheme="minorHAnsi"/>
        </w:rPr>
        <w:t xml:space="preserve"> to faculty: </w:t>
      </w:r>
      <w:r w:rsidR="00700C8E" w:rsidRPr="00D82DB0">
        <w:rPr>
          <w:rFonts w:ascii="Cambria" w:hAnsi="Cambria" w:cstheme="minorHAnsi"/>
        </w:rPr>
        <w:t xml:space="preserve">When completing this template, </w:t>
      </w:r>
      <w:r w:rsidR="00700C8E" w:rsidRPr="00D82DB0">
        <w:rPr>
          <w:rFonts w:ascii="Cambria" w:hAnsi="Cambria" w:cstheme="minorHAnsi"/>
          <w:b/>
          <w:bCs/>
        </w:rPr>
        <w:t>it is essential</w:t>
      </w:r>
      <w:r w:rsidR="00700C8E" w:rsidRPr="00D82DB0">
        <w:rPr>
          <w:rFonts w:ascii="Cambria" w:hAnsi="Cambria" w:cstheme="minorHAnsi"/>
        </w:rPr>
        <w:t xml:space="preserve"> that you use the CCSA Syllabus Guidelines document to ensure compliance with CCSA policies. </w:t>
      </w:r>
    </w:p>
    <w:p w14:paraId="2A9B6D27" w14:textId="1E4218B1" w:rsidR="000F5590" w:rsidRPr="00D82DB0" w:rsidRDefault="001D6E3D" w:rsidP="00033919">
      <w:pPr>
        <w:pBdr>
          <w:bottom w:val="single" w:sz="12" w:space="1" w:color="auto"/>
        </w:pBdr>
        <w:rPr>
          <w:rFonts w:ascii="Cambria" w:hAnsi="Cambria" w:cstheme="minorHAnsi"/>
        </w:rPr>
      </w:pPr>
      <w:r w:rsidRPr="00D82DB0">
        <w:rPr>
          <w:rFonts w:ascii="Cambria" w:hAnsi="Cambria" w:cstheme="minorHAnsi"/>
        </w:rPr>
        <w:t>Please w</w:t>
      </w:r>
      <w:r w:rsidR="00BC3AA6" w:rsidRPr="00D82DB0">
        <w:rPr>
          <w:rFonts w:ascii="Cambria" w:hAnsi="Cambria" w:cstheme="minorHAnsi"/>
        </w:rPr>
        <w:t xml:space="preserve">rite your additions to the syllabus in the boxes provided. </w:t>
      </w:r>
      <w:r w:rsidR="00EA3F03" w:rsidRPr="00D82DB0">
        <w:rPr>
          <w:rFonts w:ascii="Cambria" w:hAnsi="Cambria" w:cstheme="minorHAnsi"/>
        </w:rPr>
        <w:t>All text outside the boxes will remain in the final syllabus</w:t>
      </w:r>
      <w:r w:rsidR="003C049C" w:rsidRPr="00D82DB0">
        <w:rPr>
          <w:rFonts w:ascii="Cambria" w:hAnsi="Cambria" w:cstheme="minorHAnsi"/>
        </w:rPr>
        <w:t>.</w:t>
      </w:r>
      <w:r w:rsidR="00D82DB0" w:rsidRPr="00D82DB0">
        <w:rPr>
          <w:rFonts w:ascii="Cambria" w:hAnsi="Cambria" w:cstheme="minorHAnsi"/>
        </w:rPr>
        <w:t xml:space="preserve"> </w:t>
      </w:r>
      <w:r w:rsidR="005226CA" w:rsidRPr="005226CA">
        <w:rPr>
          <w:rFonts w:ascii="Cambria" w:hAnsi="Cambria" w:cstheme="minorHAnsi"/>
        </w:rPr>
        <w:t>Please do not repeat in the boxes the statements that precede them</w:t>
      </w:r>
      <w:r w:rsidR="005C36F8">
        <w:rPr>
          <w:rFonts w:ascii="Cambria" w:hAnsi="Cambria" w:cstheme="minorHAnsi"/>
        </w:rPr>
        <w:t>.</w:t>
      </w:r>
    </w:p>
    <w:p w14:paraId="35D509B5" w14:textId="5F66B2F0" w:rsidR="00033919" w:rsidRPr="00D82DB0" w:rsidRDefault="000F5590" w:rsidP="00033919">
      <w:pPr>
        <w:pBdr>
          <w:bottom w:val="single" w:sz="12" w:space="1" w:color="auto"/>
        </w:pBdr>
        <w:rPr>
          <w:rFonts w:ascii="Cambria" w:hAnsi="Cambria" w:cstheme="minorHAnsi"/>
        </w:rPr>
      </w:pPr>
      <w:r w:rsidRPr="00D82DB0">
        <w:rPr>
          <w:rFonts w:ascii="Cambria" w:hAnsi="Cambria" w:cstheme="minorHAnsi"/>
        </w:rPr>
        <w:t>Delete the following black lin</w:t>
      </w:r>
      <w:r w:rsidR="00D82DB0" w:rsidRPr="00D82DB0">
        <w:rPr>
          <w:rFonts w:ascii="Cambria" w:hAnsi="Cambria" w:cstheme="minorHAnsi"/>
        </w:rPr>
        <w:t>e</w:t>
      </w:r>
      <w:r w:rsidR="00852844">
        <w:rPr>
          <w:rFonts w:ascii="Cambria" w:hAnsi="Cambria" w:cstheme="minorHAnsi"/>
        </w:rPr>
        <w:t xml:space="preserve"> and</w:t>
      </w:r>
      <w:r w:rsidR="00D82DB0" w:rsidRPr="00D82DB0">
        <w:rPr>
          <w:rFonts w:ascii="Cambria" w:hAnsi="Cambria" w:cstheme="minorHAnsi"/>
        </w:rPr>
        <w:t xml:space="preserve"> these instructions</w:t>
      </w:r>
      <w:r w:rsidR="00852844">
        <w:rPr>
          <w:rFonts w:ascii="Cambria" w:hAnsi="Cambria" w:cstheme="minorHAnsi"/>
        </w:rPr>
        <w:t xml:space="preserve">. </w:t>
      </w:r>
      <w:r w:rsidR="002075EC">
        <w:rPr>
          <w:rFonts w:ascii="Cambria" w:hAnsi="Cambria" w:cstheme="minorHAnsi"/>
        </w:rPr>
        <w:t xml:space="preserve">You may make the boxes below bigger or smaller. </w:t>
      </w:r>
      <w:r w:rsidRPr="00D82DB0">
        <w:rPr>
          <w:rFonts w:ascii="Cambria" w:hAnsi="Cambria" w:cstheme="minorHAnsi"/>
        </w:rPr>
        <w:t xml:space="preserve">Edit your document for consistency in font, font size, </w:t>
      </w:r>
      <w:r w:rsidR="00D82DB0" w:rsidRPr="00D82DB0">
        <w:rPr>
          <w:rFonts w:ascii="Cambria" w:hAnsi="Cambria" w:cstheme="minorHAnsi"/>
        </w:rPr>
        <w:t xml:space="preserve">spacing, and </w:t>
      </w:r>
      <w:r w:rsidR="00B97A33">
        <w:rPr>
          <w:rFonts w:ascii="Cambria" w:hAnsi="Cambria" w:cstheme="minorHAnsi"/>
        </w:rPr>
        <w:t>overall appearance</w:t>
      </w:r>
      <w:r w:rsidR="00D82DB0" w:rsidRPr="00D82DB0">
        <w:rPr>
          <w:rFonts w:ascii="Cambria" w:hAnsi="Cambria" w:cstheme="minorHAnsi"/>
        </w:rPr>
        <w:t xml:space="preserve"> before submitting</w:t>
      </w:r>
      <w:r w:rsidR="00852844">
        <w:rPr>
          <w:rFonts w:ascii="Cambria" w:hAnsi="Cambria" w:cstheme="minorHAnsi"/>
        </w:rPr>
        <w:t>, as this will represent your course to WKU academic departments and on the web</w:t>
      </w:r>
      <w:r w:rsidR="00D82DB0" w:rsidRPr="00D82DB0">
        <w:rPr>
          <w:rFonts w:ascii="Cambria" w:hAnsi="Cambria" w:cstheme="minorHAnsi"/>
        </w:rPr>
        <w:t>.</w:t>
      </w:r>
      <w:r w:rsidR="00BC2015" w:rsidRPr="00D82DB0">
        <w:rPr>
          <w:rFonts w:ascii="Cambria" w:hAnsi="Cambria" w:cstheme="minorHAnsi"/>
        </w:rPr>
        <w:t>]</w:t>
      </w:r>
    </w:p>
    <w:p w14:paraId="74F30F61" w14:textId="77777777" w:rsidR="00BC2015" w:rsidRPr="00D82DB0" w:rsidRDefault="00BC2015" w:rsidP="00033919">
      <w:pPr>
        <w:pBdr>
          <w:bottom w:val="single" w:sz="12" w:space="1" w:color="auto"/>
        </w:pBdr>
        <w:rPr>
          <w:rFonts w:ascii="Cambria" w:hAnsi="Cambria" w:cstheme="minorHAnsi"/>
        </w:rPr>
      </w:pPr>
    </w:p>
    <w:p w14:paraId="6FBD30F5" w14:textId="3B87C17A" w:rsidR="000A1A82" w:rsidRPr="00D82DB0" w:rsidRDefault="000A1A82" w:rsidP="00DF3C57">
      <w:pPr>
        <w:rPr>
          <w:rFonts w:ascii="Cambria" w:hAnsi="Cambria" w:cstheme="minorHAnsi"/>
        </w:rPr>
      </w:pPr>
    </w:p>
    <w:p w14:paraId="1211AEA3" w14:textId="36D1ED2B" w:rsidR="00A132C0" w:rsidRPr="00D82DB0" w:rsidRDefault="00BE199D" w:rsidP="00DF3C57">
      <w:pPr>
        <w:rPr>
          <w:rFonts w:ascii="Cambria" w:hAnsi="Cambria" w:cstheme="minorHAnsi"/>
          <w:sz w:val="28"/>
          <w:szCs w:val="28"/>
        </w:rPr>
      </w:pPr>
      <w:r w:rsidRPr="00D82DB0">
        <w:rPr>
          <w:rFonts w:ascii="Cambria" w:hAnsi="Cambria" w:cstheme="minorHAnsi"/>
          <w:b/>
          <w:bCs/>
          <w:sz w:val="28"/>
          <w:szCs w:val="28"/>
        </w:rPr>
        <w:t>Course Title</w:t>
      </w:r>
      <w:r w:rsidR="00A132C0" w:rsidRPr="00D82DB0">
        <w:rPr>
          <w:rFonts w:ascii="Cambria" w:hAnsi="Cambria" w:cstheme="minorHAnsi"/>
          <w:b/>
          <w:bCs/>
          <w:sz w:val="28"/>
          <w:szCs w:val="28"/>
        </w:rPr>
        <w:t>:</w:t>
      </w:r>
      <w:r w:rsidR="007E66EF" w:rsidRPr="00D82DB0">
        <w:rPr>
          <w:rFonts w:ascii="Cambria" w:hAnsi="Cambria" w:cstheme="minorHAnsi"/>
          <w:sz w:val="28"/>
          <w:szCs w:val="28"/>
        </w:rPr>
        <w:t xml:space="preserve"> </w:t>
      </w:r>
      <w:r w:rsidR="004D0E7A">
        <w:rPr>
          <w:rFonts w:ascii="Cambria" w:hAnsi="Cambria" w:cstheme="minorHAnsi"/>
          <w:sz w:val="28"/>
          <w:szCs w:val="28"/>
        </w:rPr>
        <w:t>Parliament vs. Presidency: Exploring Governance Down Under</w:t>
      </w:r>
    </w:p>
    <w:p w14:paraId="7543904B" w14:textId="0A0E610E" w:rsidR="000A1A82" w:rsidRPr="00D82DB0" w:rsidRDefault="00BE199D" w:rsidP="00DF3C57">
      <w:pPr>
        <w:rPr>
          <w:rFonts w:ascii="Cambria" w:hAnsi="Cambria" w:cstheme="minorHAnsi"/>
        </w:rPr>
      </w:pPr>
      <w:r w:rsidRPr="00D82DB0">
        <w:rPr>
          <w:rFonts w:ascii="Cambria" w:hAnsi="Cambria" w:cstheme="minorHAnsi"/>
          <w:b/>
          <w:bCs/>
        </w:rPr>
        <w:t>Program and Date</w:t>
      </w:r>
      <w:r w:rsidR="000A1A82" w:rsidRPr="00D82DB0">
        <w:rPr>
          <w:rFonts w:ascii="Cambria" w:hAnsi="Cambria" w:cstheme="minorHAnsi"/>
        </w:rPr>
        <w:t>:</w:t>
      </w:r>
      <w:r w:rsidR="00A90EA7" w:rsidRPr="00D82DB0">
        <w:rPr>
          <w:rFonts w:ascii="Cambria" w:hAnsi="Cambria" w:cstheme="minorHAnsi"/>
        </w:rPr>
        <w:t xml:space="preserve"> </w:t>
      </w:r>
      <w:r w:rsidR="004D0E7A">
        <w:rPr>
          <w:rFonts w:ascii="Cambria" w:hAnsi="Cambria" w:cstheme="minorHAnsi"/>
        </w:rPr>
        <w:t>Australia – Winter 2025-26</w:t>
      </w:r>
    </w:p>
    <w:p w14:paraId="775D99E4" w14:textId="2FBAB0F2" w:rsidR="00BC2015" w:rsidRPr="00D82DB0" w:rsidRDefault="00912EDC" w:rsidP="008821D0">
      <w:pPr>
        <w:rPr>
          <w:rFonts w:ascii="Cambria" w:hAnsi="Cambria" w:cstheme="minorHAnsi"/>
        </w:rPr>
      </w:pPr>
      <w:r w:rsidRPr="00D82DB0">
        <w:rPr>
          <w:rFonts w:ascii="Cambria" w:hAnsi="Cambria" w:cstheme="minorHAnsi"/>
          <w:b/>
          <w:bCs/>
        </w:rPr>
        <w:t>Academic Department:</w:t>
      </w:r>
      <w:r w:rsidR="00CD2C17" w:rsidRPr="00D82DB0">
        <w:rPr>
          <w:rFonts w:ascii="Cambria" w:hAnsi="Cambria" w:cstheme="minorHAnsi"/>
        </w:rPr>
        <w:t xml:space="preserve"> </w:t>
      </w:r>
      <w:r w:rsidR="004D0E7A">
        <w:rPr>
          <w:rFonts w:ascii="Cambria" w:hAnsi="Cambria" w:cstheme="minorHAnsi"/>
        </w:rPr>
        <w:t>Political Science</w:t>
      </w:r>
    </w:p>
    <w:p w14:paraId="3C038B20" w14:textId="7CC002C8" w:rsidR="000A1A82" w:rsidRPr="00D82DB0" w:rsidRDefault="000A1A82" w:rsidP="00DF3C57">
      <w:pPr>
        <w:rPr>
          <w:rFonts w:ascii="Cambria" w:hAnsi="Cambria" w:cstheme="minorHAnsi"/>
        </w:rPr>
      </w:pPr>
      <w:r w:rsidRPr="00D82DB0">
        <w:rPr>
          <w:rFonts w:ascii="Cambria" w:hAnsi="Cambria" w:cstheme="minorHAnsi"/>
          <w:b/>
          <w:bCs/>
        </w:rPr>
        <w:t>Instructor Name</w:t>
      </w:r>
      <w:r w:rsidR="005F0A09" w:rsidRPr="00D82DB0">
        <w:rPr>
          <w:rFonts w:ascii="Cambria" w:hAnsi="Cambria" w:cstheme="minorHAnsi"/>
          <w:b/>
          <w:bCs/>
        </w:rPr>
        <w:t>:</w:t>
      </w:r>
      <w:r w:rsidR="00D82DB0" w:rsidRPr="00D82DB0">
        <w:rPr>
          <w:rFonts w:ascii="Cambria" w:hAnsi="Cambria" w:cstheme="minorHAnsi"/>
        </w:rPr>
        <w:t xml:space="preserve"> </w:t>
      </w:r>
      <w:r w:rsidR="004D0E7A">
        <w:rPr>
          <w:rFonts w:ascii="Cambria" w:hAnsi="Cambria" w:cstheme="minorHAnsi"/>
        </w:rPr>
        <w:t>Dr. Darrin Wilson</w:t>
      </w:r>
    </w:p>
    <w:p w14:paraId="54CF5C1B" w14:textId="59F650C9" w:rsidR="00912EDC" w:rsidRPr="00D82DB0" w:rsidRDefault="005F0A09" w:rsidP="007E66EF">
      <w:pPr>
        <w:rPr>
          <w:rFonts w:ascii="Cambria" w:hAnsi="Cambria" w:cstheme="minorHAnsi"/>
        </w:rPr>
      </w:pPr>
      <w:r w:rsidRPr="00D82DB0">
        <w:rPr>
          <w:rFonts w:ascii="Cambria" w:hAnsi="Cambria" w:cstheme="minorHAnsi"/>
          <w:b/>
          <w:bCs/>
        </w:rPr>
        <w:t>Instructor Email and Phone</w:t>
      </w:r>
      <w:r w:rsidR="003A02C0" w:rsidRPr="00D82DB0">
        <w:rPr>
          <w:rFonts w:ascii="Cambria" w:hAnsi="Cambria" w:cstheme="minorHAnsi"/>
          <w:b/>
          <w:bCs/>
        </w:rPr>
        <w:t>:</w:t>
      </w:r>
      <w:r w:rsidR="00D82DB0" w:rsidRPr="00D82DB0">
        <w:rPr>
          <w:rFonts w:ascii="Cambria" w:hAnsi="Cambria" w:cstheme="minorHAnsi"/>
        </w:rPr>
        <w:t xml:space="preserve"> </w:t>
      </w:r>
      <w:hyperlink r:id="rId7" w:history="1">
        <w:r w:rsidR="004D0E7A" w:rsidRPr="000C6DAE">
          <w:rPr>
            <w:rStyle w:val="Hyperlink"/>
            <w:rFonts w:ascii="Cambria" w:hAnsi="Cambria" w:cstheme="minorHAnsi"/>
          </w:rPr>
          <w:t>wilsond32@nku.edu</w:t>
        </w:r>
      </w:hyperlink>
      <w:r w:rsidR="004D0E7A">
        <w:rPr>
          <w:rFonts w:ascii="Cambria" w:hAnsi="Cambria" w:cstheme="minorHAnsi"/>
        </w:rPr>
        <w:t xml:space="preserve"> 859-572-5789</w:t>
      </w:r>
    </w:p>
    <w:p w14:paraId="241AC5C9" w14:textId="279A453F" w:rsidR="00E72127" w:rsidRPr="00D82DB0" w:rsidRDefault="00E72127" w:rsidP="007E66EF">
      <w:pPr>
        <w:rPr>
          <w:rFonts w:ascii="Cambria" w:hAnsi="Cambria" w:cstheme="minorHAnsi"/>
          <w:b/>
          <w:bCs/>
        </w:rPr>
      </w:pPr>
    </w:p>
    <w:p w14:paraId="31E83053" w14:textId="776FE37D" w:rsidR="007E66EF" w:rsidRPr="00D82DB0" w:rsidRDefault="00E72127" w:rsidP="007E66EF">
      <w:pPr>
        <w:rPr>
          <w:rFonts w:ascii="Cambria" w:hAnsi="Cambria" w:cstheme="minorHAnsi"/>
          <w:b/>
          <w:bCs/>
        </w:rPr>
      </w:pPr>
      <w:r w:rsidRPr="00D82DB0">
        <w:rPr>
          <w:rFonts w:ascii="Cambria" w:hAnsi="Cambria" w:cstheme="minorHAnsi"/>
          <w:b/>
          <w:bCs/>
        </w:rPr>
        <w:t>Get to Know Your Professor</w:t>
      </w:r>
    </w:p>
    <w:tbl>
      <w:tblPr>
        <w:tblStyle w:val="TableGrid"/>
        <w:tblW w:w="0" w:type="auto"/>
        <w:tblLook w:val="04A0" w:firstRow="1" w:lastRow="0" w:firstColumn="1" w:lastColumn="0" w:noHBand="0" w:noVBand="1"/>
      </w:tblPr>
      <w:tblGrid>
        <w:gridCol w:w="9350"/>
      </w:tblGrid>
      <w:tr w:rsidR="007E66EF" w:rsidRPr="00D82DB0" w14:paraId="1F537516" w14:textId="77777777" w:rsidTr="007E66EF">
        <w:trPr>
          <w:trHeight w:val="1961"/>
        </w:trPr>
        <w:tc>
          <w:tcPr>
            <w:tcW w:w="9350" w:type="dxa"/>
          </w:tcPr>
          <w:p w14:paraId="5CDCD7E6" w14:textId="31F857FE" w:rsidR="007E66EF" w:rsidRPr="00D82DB0" w:rsidRDefault="004D0E7A" w:rsidP="00D82DB0">
            <w:pPr>
              <w:rPr>
                <w:rFonts w:ascii="Cambria" w:hAnsi="Cambria" w:cstheme="minorHAnsi"/>
              </w:rPr>
            </w:pPr>
            <w:r>
              <w:rPr>
                <w:rFonts w:ascii="Cambria" w:hAnsi="Cambria" w:cstheme="minorHAnsi"/>
              </w:rPr>
              <w:t xml:space="preserve">Dr. Wilson is an Associate Professor of Public Administration teaching government management, public policy, and community/economic development. Growing up in eastern Kentucky, Dr. Wilson has seen first hand how important good governance is to a vibrant and successful community. Having lived abroad and taught abroad through CCSA, he’s passionate about showing students that even though people live in different countries, with different languages and cultures, the policy problems we all face are similar and we all can learn from one another to tackle the challenges facing our own communities. </w:t>
            </w:r>
          </w:p>
        </w:tc>
      </w:tr>
    </w:tbl>
    <w:p w14:paraId="66A1A807" w14:textId="77777777" w:rsidR="007E66EF" w:rsidRPr="00D82DB0" w:rsidRDefault="007E66EF" w:rsidP="007E66EF">
      <w:pPr>
        <w:pBdr>
          <w:bottom w:val="single" w:sz="12" w:space="1" w:color="auto"/>
        </w:pBdr>
        <w:rPr>
          <w:rFonts w:ascii="Cambria" w:hAnsi="Cambria" w:cstheme="minorHAnsi"/>
          <w:b/>
          <w:bCs/>
        </w:rPr>
      </w:pPr>
    </w:p>
    <w:p w14:paraId="28FC3921" w14:textId="77777777" w:rsidR="007E66EF" w:rsidRPr="00D82DB0" w:rsidRDefault="007E66EF" w:rsidP="00BB72BB">
      <w:pPr>
        <w:spacing w:after="0"/>
        <w:rPr>
          <w:rFonts w:ascii="Cambria" w:hAnsi="Cambria" w:cstheme="minorHAnsi"/>
          <w:b/>
          <w:bCs/>
        </w:rPr>
      </w:pPr>
    </w:p>
    <w:p w14:paraId="0152B08F" w14:textId="7498E7A9" w:rsidR="000A1A82" w:rsidRPr="00D82DB0" w:rsidRDefault="000A1A82" w:rsidP="007E66EF">
      <w:pPr>
        <w:rPr>
          <w:rFonts w:ascii="Cambria" w:hAnsi="Cambria" w:cstheme="minorHAnsi"/>
          <w:b/>
          <w:bCs/>
        </w:rPr>
      </w:pPr>
      <w:r w:rsidRPr="00D82DB0">
        <w:rPr>
          <w:rFonts w:ascii="Cambria" w:hAnsi="Cambria" w:cstheme="minorHAnsi"/>
          <w:b/>
          <w:bCs/>
        </w:rPr>
        <w:t>Course Description</w:t>
      </w:r>
    </w:p>
    <w:tbl>
      <w:tblPr>
        <w:tblStyle w:val="TableGrid"/>
        <w:tblW w:w="0" w:type="auto"/>
        <w:tblLook w:val="04A0" w:firstRow="1" w:lastRow="0" w:firstColumn="1" w:lastColumn="0" w:noHBand="0" w:noVBand="1"/>
      </w:tblPr>
      <w:tblGrid>
        <w:gridCol w:w="9350"/>
      </w:tblGrid>
      <w:tr w:rsidR="007E66EF" w:rsidRPr="00D82DB0" w14:paraId="0D74BD4A" w14:textId="77777777" w:rsidTr="007E66EF">
        <w:trPr>
          <w:trHeight w:val="3266"/>
        </w:trPr>
        <w:tc>
          <w:tcPr>
            <w:tcW w:w="9350" w:type="dxa"/>
          </w:tcPr>
          <w:p w14:paraId="3276AA6C" w14:textId="1C33DCCE" w:rsidR="007E66EF" w:rsidRPr="00D82DB0" w:rsidRDefault="001C2EE2" w:rsidP="00DF3C57">
            <w:pPr>
              <w:rPr>
                <w:rFonts w:ascii="Cambria" w:hAnsi="Cambria" w:cstheme="minorHAnsi"/>
              </w:rPr>
            </w:pPr>
            <w:r w:rsidRPr="001C2EE2">
              <w:rPr>
                <w:rFonts w:ascii="Cambria" w:hAnsi="Cambria" w:cstheme="minorHAnsi"/>
              </w:rPr>
              <w:lastRenderedPageBreak/>
              <w:t>Australia and the US are both western democracies, but they differ significantly in governance and administrative structures.  Through field trips to such sites as the Australian Parliament and High Court in the capital city Canberra, as well as sites of political significance in Sydney, this class provides students interested in political science, international studies and public administration unique opportunities to compare and contrast the political and administrative culture of Australia with that of the U.S.  To deepen your understanding of Australian society, including its indigenous peoples, a side trip to rural areas, and a visit to the Great Barrier Reef, are included in this class. </w:t>
            </w:r>
          </w:p>
        </w:tc>
      </w:tr>
    </w:tbl>
    <w:p w14:paraId="1E7A052C" w14:textId="6F286ED8" w:rsidR="008821D0" w:rsidRPr="00D82DB0" w:rsidRDefault="008821D0" w:rsidP="00DF3C57">
      <w:pPr>
        <w:rPr>
          <w:rFonts w:ascii="Cambria" w:hAnsi="Cambria" w:cstheme="minorHAnsi"/>
        </w:rPr>
      </w:pPr>
    </w:p>
    <w:p w14:paraId="3AC5702D" w14:textId="33911E93" w:rsidR="008109C7" w:rsidRPr="00D82DB0" w:rsidRDefault="008109C7" w:rsidP="00AE1BE1">
      <w:pPr>
        <w:rPr>
          <w:rFonts w:ascii="Cambria" w:hAnsi="Cambria" w:cstheme="minorHAnsi"/>
          <w:b/>
          <w:bCs/>
        </w:rPr>
      </w:pPr>
      <w:r w:rsidRPr="00D82DB0">
        <w:rPr>
          <w:rFonts w:ascii="Cambria" w:hAnsi="Cambria" w:cstheme="minorHAnsi"/>
          <w:b/>
          <w:bCs/>
        </w:rPr>
        <w:t>Course Level</w:t>
      </w:r>
      <w:r w:rsidR="00D82DB0">
        <w:rPr>
          <w:rFonts w:ascii="Cambria" w:hAnsi="Cambria" w:cstheme="minorHAnsi"/>
          <w:b/>
          <w:bCs/>
        </w:rPr>
        <w:t xml:space="preserve"> and Credit Hours</w:t>
      </w:r>
    </w:p>
    <w:tbl>
      <w:tblPr>
        <w:tblStyle w:val="TableGrid"/>
        <w:tblW w:w="0" w:type="auto"/>
        <w:tblLook w:val="04A0" w:firstRow="1" w:lastRow="0" w:firstColumn="1" w:lastColumn="0" w:noHBand="0" w:noVBand="1"/>
      </w:tblPr>
      <w:tblGrid>
        <w:gridCol w:w="9350"/>
      </w:tblGrid>
      <w:tr w:rsidR="008109C7" w:rsidRPr="00D82DB0" w14:paraId="64F00D94" w14:textId="77777777" w:rsidTr="008109C7">
        <w:trPr>
          <w:trHeight w:val="647"/>
        </w:trPr>
        <w:tc>
          <w:tcPr>
            <w:tcW w:w="9350" w:type="dxa"/>
          </w:tcPr>
          <w:p w14:paraId="6171C71A" w14:textId="52A411C9" w:rsidR="008109C7" w:rsidRPr="00D82DB0" w:rsidRDefault="001C2EE2" w:rsidP="00AE1BE1">
            <w:pPr>
              <w:rPr>
                <w:rFonts w:ascii="Cambria" w:hAnsi="Cambria" w:cstheme="minorHAnsi"/>
              </w:rPr>
            </w:pPr>
            <w:r>
              <w:rPr>
                <w:rFonts w:ascii="Cambria" w:hAnsi="Cambria" w:cstheme="minorHAnsi"/>
              </w:rPr>
              <w:t>UG</w:t>
            </w:r>
            <w:r w:rsidR="00D545F9">
              <w:rPr>
                <w:rFonts w:ascii="Cambria" w:hAnsi="Cambria" w:cstheme="minorHAnsi"/>
              </w:rPr>
              <w:t xml:space="preserve"> (including Honors)</w:t>
            </w:r>
            <w:r>
              <w:rPr>
                <w:rFonts w:ascii="Cambria" w:hAnsi="Cambria" w:cstheme="minorHAnsi"/>
              </w:rPr>
              <w:t xml:space="preserve"> and Graduate 3 Credit Hours</w:t>
            </w:r>
          </w:p>
        </w:tc>
      </w:tr>
    </w:tbl>
    <w:p w14:paraId="50FBBC2E" w14:textId="77777777" w:rsidR="008109C7" w:rsidRPr="00D82DB0" w:rsidRDefault="008109C7" w:rsidP="00AE1BE1">
      <w:pPr>
        <w:rPr>
          <w:rFonts w:ascii="Cambria" w:hAnsi="Cambria" w:cstheme="minorHAnsi"/>
          <w:b/>
          <w:bCs/>
        </w:rPr>
      </w:pPr>
    </w:p>
    <w:p w14:paraId="6ACF95F1" w14:textId="436D3E4C" w:rsidR="00AE1BE1" w:rsidRPr="00D82DB0" w:rsidRDefault="00AE1BE1" w:rsidP="00AE1BE1">
      <w:pPr>
        <w:rPr>
          <w:rFonts w:ascii="Cambria" w:hAnsi="Cambria" w:cstheme="minorHAnsi"/>
          <w:b/>
          <w:bCs/>
        </w:rPr>
      </w:pPr>
      <w:r w:rsidRPr="00D82DB0">
        <w:rPr>
          <w:rFonts w:ascii="Cambria" w:hAnsi="Cambria" w:cstheme="minorHAnsi"/>
          <w:b/>
          <w:bCs/>
        </w:rPr>
        <w:t>Prerequisite(s)</w:t>
      </w:r>
    </w:p>
    <w:tbl>
      <w:tblPr>
        <w:tblStyle w:val="TableGrid"/>
        <w:tblW w:w="0" w:type="auto"/>
        <w:tblLook w:val="04A0" w:firstRow="1" w:lastRow="0" w:firstColumn="1" w:lastColumn="0" w:noHBand="0" w:noVBand="1"/>
      </w:tblPr>
      <w:tblGrid>
        <w:gridCol w:w="9328"/>
      </w:tblGrid>
      <w:tr w:rsidR="007E66EF" w:rsidRPr="00D82DB0" w14:paraId="12DE937E" w14:textId="77777777" w:rsidTr="007E66EF">
        <w:trPr>
          <w:trHeight w:val="625"/>
        </w:trPr>
        <w:tc>
          <w:tcPr>
            <w:tcW w:w="9328" w:type="dxa"/>
          </w:tcPr>
          <w:p w14:paraId="27AF806D" w14:textId="01937B70" w:rsidR="007E66EF" w:rsidRPr="00D82DB0" w:rsidRDefault="001C2EE2" w:rsidP="00DF3C57">
            <w:pPr>
              <w:rPr>
                <w:rFonts w:ascii="Cambria" w:hAnsi="Cambria" w:cstheme="minorHAnsi"/>
              </w:rPr>
            </w:pPr>
            <w:r>
              <w:rPr>
                <w:rFonts w:ascii="Cambria" w:hAnsi="Cambria" w:cstheme="minorHAnsi"/>
              </w:rPr>
              <w:t>None</w:t>
            </w:r>
          </w:p>
        </w:tc>
      </w:tr>
    </w:tbl>
    <w:p w14:paraId="7FA0A19C" w14:textId="77777777" w:rsidR="00AE1BE1" w:rsidRPr="00D82DB0" w:rsidRDefault="00AE1BE1" w:rsidP="00DF3C57">
      <w:pPr>
        <w:rPr>
          <w:rFonts w:ascii="Cambria" w:hAnsi="Cambria" w:cstheme="minorHAnsi"/>
          <w:b/>
          <w:bCs/>
        </w:rPr>
      </w:pPr>
    </w:p>
    <w:p w14:paraId="54133FD4" w14:textId="774C664D" w:rsidR="00955DBA" w:rsidRPr="00D82DB0" w:rsidRDefault="000A1A82" w:rsidP="00DF3C57">
      <w:pPr>
        <w:rPr>
          <w:rFonts w:ascii="Cambria" w:hAnsi="Cambria" w:cstheme="minorHAnsi"/>
        </w:rPr>
      </w:pPr>
      <w:r w:rsidRPr="00D82DB0">
        <w:rPr>
          <w:rFonts w:ascii="Cambria" w:hAnsi="Cambria" w:cstheme="minorHAnsi"/>
          <w:b/>
          <w:bCs/>
        </w:rPr>
        <w:t>Student Learning Outcomes</w:t>
      </w:r>
      <w:r w:rsidRPr="00D82DB0">
        <w:rPr>
          <w:rFonts w:ascii="Cambria" w:hAnsi="Cambria" w:cstheme="minorHAnsi"/>
        </w:rPr>
        <w:t xml:space="preserve"> </w:t>
      </w:r>
    </w:p>
    <w:p w14:paraId="4C54F5AD" w14:textId="63E6F1B7" w:rsidR="00A713E7" w:rsidRPr="00D82DB0" w:rsidRDefault="00A704DF" w:rsidP="00DF3C57">
      <w:pPr>
        <w:rPr>
          <w:rFonts w:ascii="Cambria" w:hAnsi="Cambria" w:cstheme="minorHAnsi"/>
        </w:rPr>
      </w:pPr>
      <w:r w:rsidRPr="00D82DB0">
        <w:rPr>
          <w:rFonts w:ascii="Cambria" w:hAnsi="Cambria" w:cstheme="minorHAnsi"/>
        </w:rPr>
        <w:t xml:space="preserve">Upon </w:t>
      </w:r>
      <w:r w:rsidR="00205697" w:rsidRPr="00D82DB0">
        <w:rPr>
          <w:rFonts w:ascii="Cambria" w:hAnsi="Cambria" w:cstheme="minorHAnsi"/>
        </w:rPr>
        <w:t>complet</w:t>
      </w:r>
      <w:r w:rsidRPr="00D82DB0">
        <w:rPr>
          <w:rFonts w:ascii="Cambria" w:hAnsi="Cambria" w:cstheme="minorHAnsi"/>
        </w:rPr>
        <w:t>ion of</w:t>
      </w:r>
      <w:r w:rsidR="00205697" w:rsidRPr="00D82DB0">
        <w:rPr>
          <w:rFonts w:ascii="Cambria" w:hAnsi="Cambria" w:cstheme="minorHAnsi"/>
        </w:rPr>
        <w:t xml:space="preserve"> all coursework with a passing grade and </w:t>
      </w:r>
      <w:r w:rsidR="0025703F" w:rsidRPr="00D82DB0">
        <w:rPr>
          <w:rFonts w:ascii="Cambria" w:hAnsi="Cambria" w:cstheme="minorHAnsi"/>
        </w:rPr>
        <w:t xml:space="preserve">full </w:t>
      </w:r>
      <w:r w:rsidR="00205697" w:rsidRPr="00D82DB0">
        <w:rPr>
          <w:rFonts w:ascii="Cambria" w:hAnsi="Cambria" w:cstheme="minorHAnsi"/>
        </w:rPr>
        <w:t>participat</w:t>
      </w:r>
      <w:r w:rsidRPr="00D82DB0">
        <w:rPr>
          <w:rFonts w:ascii="Cambria" w:hAnsi="Cambria" w:cstheme="minorHAnsi"/>
        </w:rPr>
        <w:t>ion</w:t>
      </w:r>
      <w:r w:rsidR="00205697" w:rsidRPr="00D82DB0">
        <w:rPr>
          <w:rFonts w:ascii="Cambria" w:hAnsi="Cambria" w:cstheme="minorHAnsi"/>
        </w:rPr>
        <w:t xml:space="preserve"> in </w:t>
      </w:r>
      <w:r w:rsidRPr="00D82DB0">
        <w:rPr>
          <w:rFonts w:ascii="Cambria" w:hAnsi="Cambria" w:cstheme="minorHAnsi"/>
        </w:rPr>
        <w:t>course</w:t>
      </w:r>
      <w:r w:rsidR="00205697" w:rsidRPr="00D82DB0">
        <w:rPr>
          <w:rFonts w:ascii="Cambria" w:hAnsi="Cambria" w:cstheme="minorHAnsi"/>
        </w:rPr>
        <w:t xml:space="preserve"> activities, </w:t>
      </w:r>
      <w:r w:rsidRPr="00D82DB0">
        <w:rPr>
          <w:rFonts w:ascii="Cambria" w:hAnsi="Cambria" w:cstheme="minorHAnsi"/>
        </w:rPr>
        <w:t>students</w:t>
      </w:r>
      <w:r w:rsidR="00205697" w:rsidRPr="00D82DB0">
        <w:rPr>
          <w:rFonts w:ascii="Cambria" w:hAnsi="Cambria" w:cstheme="minorHAnsi"/>
        </w:rPr>
        <w:t xml:space="preserve"> shall be able to:</w:t>
      </w:r>
    </w:p>
    <w:tbl>
      <w:tblPr>
        <w:tblStyle w:val="TableGrid"/>
        <w:tblW w:w="9371" w:type="dxa"/>
        <w:tblLook w:val="04A0" w:firstRow="1" w:lastRow="0" w:firstColumn="1" w:lastColumn="0" w:noHBand="0" w:noVBand="1"/>
      </w:tblPr>
      <w:tblGrid>
        <w:gridCol w:w="9371"/>
      </w:tblGrid>
      <w:tr w:rsidR="007E66EF" w:rsidRPr="00D82DB0" w14:paraId="096FEB4D" w14:textId="77777777" w:rsidTr="00301A8F">
        <w:trPr>
          <w:trHeight w:val="2573"/>
        </w:trPr>
        <w:tc>
          <w:tcPr>
            <w:tcW w:w="9371" w:type="dxa"/>
          </w:tcPr>
          <w:p w14:paraId="7B602E6D" w14:textId="77777777" w:rsidR="001C2EE2" w:rsidRPr="007445AE" w:rsidRDefault="001C2EE2" w:rsidP="001C2EE2">
            <w:pPr>
              <w:rPr>
                <w:rFonts w:ascii="Cambria" w:eastAsia="Cambria" w:hAnsi="Cambria" w:cs="Cambria"/>
              </w:rPr>
            </w:pPr>
            <w:r w:rsidRPr="007445AE">
              <w:rPr>
                <w:rFonts w:ascii="Cambria" w:eastAsia="Cambria" w:hAnsi="Cambria" w:cs="Cambria"/>
              </w:rPr>
              <w:t>1.</w:t>
            </w:r>
            <w:r>
              <w:rPr>
                <w:rFonts w:ascii="Cambria" w:eastAsia="Cambria" w:hAnsi="Cambria" w:cs="Cambria"/>
              </w:rPr>
              <w:t xml:space="preserve"> Compare and contrast the Australian’s parliamentary system with the United States’ presidential system. </w:t>
            </w:r>
          </w:p>
          <w:p w14:paraId="33E1F59F" w14:textId="77777777" w:rsidR="001C2EE2" w:rsidRPr="007445AE" w:rsidRDefault="001C2EE2" w:rsidP="001C2EE2">
            <w:pPr>
              <w:rPr>
                <w:rFonts w:ascii="Cambria" w:eastAsia="Cambria" w:hAnsi="Cambria" w:cs="Cambria"/>
              </w:rPr>
            </w:pPr>
            <w:r w:rsidRPr="007445AE">
              <w:rPr>
                <w:rFonts w:ascii="Cambria" w:eastAsia="Cambria" w:hAnsi="Cambria" w:cs="Cambria"/>
              </w:rPr>
              <w:t>2.</w:t>
            </w:r>
            <w:r>
              <w:rPr>
                <w:rFonts w:ascii="Cambria" w:eastAsia="Cambria" w:hAnsi="Cambria" w:cs="Cambria"/>
              </w:rPr>
              <w:t xml:space="preserve"> Analyze how the different governance and administrative systems between both countries has resulted in different policy solutions for a specific policy problem. </w:t>
            </w:r>
          </w:p>
          <w:p w14:paraId="7E98AF7F" w14:textId="77777777" w:rsidR="001C2EE2" w:rsidRPr="007445AE" w:rsidRDefault="001C2EE2" w:rsidP="001C2EE2">
            <w:pPr>
              <w:rPr>
                <w:rFonts w:ascii="Cambria" w:eastAsia="Cambria" w:hAnsi="Cambria" w:cs="Cambria"/>
              </w:rPr>
            </w:pPr>
            <w:r w:rsidRPr="007445AE">
              <w:rPr>
                <w:rFonts w:ascii="Cambria" w:eastAsia="Cambria" w:hAnsi="Cambria" w:cs="Cambria"/>
              </w:rPr>
              <w:t>3.</w:t>
            </w:r>
            <w:r>
              <w:rPr>
                <w:rFonts w:ascii="Cambria" w:eastAsia="Cambria" w:hAnsi="Cambria" w:cs="Cambria"/>
              </w:rPr>
              <w:t xml:space="preserve"> Appraise how the indigenous peoples of both nations are included and considered in governance and administrative systems.</w:t>
            </w:r>
          </w:p>
          <w:p w14:paraId="22073458" w14:textId="77777777" w:rsidR="007E66EF" w:rsidRPr="00D82DB0" w:rsidRDefault="007E66EF" w:rsidP="007E66EF">
            <w:pPr>
              <w:rPr>
                <w:rFonts w:ascii="Cambria" w:hAnsi="Cambria" w:cstheme="minorHAnsi"/>
              </w:rPr>
            </w:pPr>
          </w:p>
        </w:tc>
      </w:tr>
    </w:tbl>
    <w:p w14:paraId="210A634F" w14:textId="156C69F2" w:rsidR="00C524BF" w:rsidRPr="00D82DB0" w:rsidRDefault="00C524BF" w:rsidP="007E66EF">
      <w:pPr>
        <w:rPr>
          <w:rFonts w:ascii="Cambria" w:hAnsi="Cambria" w:cstheme="minorHAnsi"/>
          <w:b/>
          <w:bCs/>
        </w:rPr>
      </w:pPr>
    </w:p>
    <w:p w14:paraId="2C0CC11A" w14:textId="5B30447E" w:rsidR="00A20EAF" w:rsidRPr="00D82DB0" w:rsidRDefault="000A1A82" w:rsidP="00DF3C57">
      <w:pPr>
        <w:rPr>
          <w:rFonts w:ascii="Cambria" w:hAnsi="Cambria" w:cstheme="minorHAnsi"/>
          <w:b/>
          <w:bCs/>
        </w:rPr>
      </w:pPr>
      <w:r w:rsidRPr="00D82DB0">
        <w:rPr>
          <w:rFonts w:ascii="Cambria" w:hAnsi="Cambria" w:cstheme="minorHAnsi"/>
          <w:b/>
          <w:bCs/>
        </w:rPr>
        <w:t>Required Readings and Materials</w:t>
      </w:r>
    </w:p>
    <w:tbl>
      <w:tblPr>
        <w:tblStyle w:val="TableGrid"/>
        <w:tblW w:w="9360" w:type="dxa"/>
        <w:tblLook w:val="04A0" w:firstRow="1" w:lastRow="0" w:firstColumn="1" w:lastColumn="0" w:noHBand="0" w:noVBand="1"/>
      </w:tblPr>
      <w:tblGrid>
        <w:gridCol w:w="9360"/>
      </w:tblGrid>
      <w:tr w:rsidR="007E66EF" w:rsidRPr="00D82DB0" w14:paraId="6004F4BC" w14:textId="77777777" w:rsidTr="007E66EF">
        <w:trPr>
          <w:trHeight w:val="1233"/>
        </w:trPr>
        <w:tc>
          <w:tcPr>
            <w:tcW w:w="9360" w:type="dxa"/>
          </w:tcPr>
          <w:p w14:paraId="0DD97929" w14:textId="77777777" w:rsidR="00540864" w:rsidRPr="00540864" w:rsidRDefault="00540864" w:rsidP="00540864">
            <w:pPr>
              <w:rPr>
                <w:rFonts w:ascii="Cambria" w:hAnsi="Cambria" w:cstheme="minorHAnsi"/>
              </w:rPr>
            </w:pPr>
            <w:r w:rsidRPr="00540864">
              <w:rPr>
                <w:rFonts w:ascii="Cambria" w:hAnsi="Cambria" w:cstheme="minorHAnsi"/>
              </w:rPr>
              <w:t>Abinaya, S. (2022). A Comparative Analysis of Parliamentary and Presidential Form of Government. Supremo Amicus, 28, 65.</w:t>
            </w:r>
          </w:p>
          <w:p w14:paraId="301A6E9D" w14:textId="77777777" w:rsidR="00540864" w:rsidRDefault="00540864" w:rsidP="00540864">
            <w:pPr>
              <w:rPr>
                <w:rFonts w:ascii="Cambria" w:hAnsi="Cambria" w:cstheme="minorHAnsi"/>
              </w:rPr>
            </w:pPr>
          </w:p>
          <w:p w14:paraId="6B09C833" w14:textId="27E24FC1" w:rsidR="00540864" w:rsidRPr="00540864" w:rsidRDefault="00540864" w:rsidP="00540864">
            <w:pPr>
              <w:rPr>
                <w:rFonts w:ascii="Cambria" w:hAnsi="Cambria" w:cstheme="minorHAnsi"/>
              </w:rPr>
            </w:pPr>
            <w:r w:rsidRPr="00540864">
              <w:rPr>
                <w:rFonts w:ascii="Cambria" w:hAnsi="Cambria" w:cstheme="minorHAnsi"/>
              </w:rPr>
              <w:t>Bahro, H., Bayerlein, B. H., &amp; Veser, E. (1998). Duverger's concept: Semi-presidential government revisited. European journal of political research, 34(2), 201-224.</w:t>
            </w:r>
          </w:p>
          <w:p w14:paraId="7152301B" w14:textId="77777777" w:rsidR="00540864" w:rsidRPr="00540864" w:rsidRDefault="00540864" w:rsidP="00540864">
            <w:pPr>
              <w:rPr>
                <w:rFonts w:ascii="Cambria" w:hAnsi="Cambria" w:cstheme="minorHAnsi"/>
              </w:rPr>
            </w:pPr>
            <w:r w:rsidRPr="00540864">
              <w:rPr>
                <w:rFonts w:ascii="Cambria" w:hAnsi="Cambria" w:cstheme="minorHAnsi"/>
              </w:rPr>
              <w:lastRenderedPageBreak/>
              <w:t>Carey, J. M. (2005). Presidential versus parliamentary government. In Handbook of new institutional economics (pp. 91-122). Berlin, Heidelberg: Springer Berlin Heidelberg.</w:t>
            </w:r>
          </w:p>
          <w:p w14:paraId="3600938B" w14:textId="77777777" w:rsidR="00540864" w:rsidRDefault="00540864" w:rsidP="00540864">
            <w:pPr>
              <w:rPr>
                <w:rFonts w:ascii="Cambria" w:hAnsi="Cambria" w:cstheme="minorHAnsi"/>
              </w:rPr>
            </w:pPr>
          </w:p>
          <w:p w14:paraId="790C6514" w14:textId="01124C2A" w:rsidR="00540864" w:rsidRPr="00540864" w:rsidRDefault="00540864" w:rsidP="00540864">
            <w:pPr>
              <w:rPr>
                <w:rFonts w:ascii="Cambria" w:hAnsi="Cambria" w:cstheme="minorHAnsi"/>
              </w:rPr>
            </w:pPr>
            <w:r w:rsidRPr="00540864">
              <w:rPr>
                <w:rFonts w:ascii="Cambria" w:hAnsi="Cambria" w:cstheme="minorHAnsi"/>
              </w:rPr>
              <w:t>Horowitz, D. L. (1990). Presidents vs. parliaments: Comparing democratic systems. Journal of democracy, 1(4), 73-79.</w:t>
            </w:r>
          </w:p>
          <w:p w14:paraId="72672C71" w14:textId="77777777" w:rsidR="00540864" w:rsidRDefault="00540864" w:rsidP="00540864">
            <w:pPr>
              <w:rPr>
                <w:rFonts w:ascii="Cambria" w:hAnsi="Cambria" w:cstheme="minorHAnsi"/>
              </w:rPr>
            </w:pPr>
          </w:p>
          <w:p w14:paraId="6B8EB868" w14:textId="4F28FC62" w:rsidR="00540864" w:rsidRPr="00540864" w:rsidRDefault="00540864" w:rsidP="00540864">
            <w:pPr>
              <w:rPr>
                <w:rFonts w:ascii="Cambria" w:hAnsi="Cambria" w:cstheme="minorHAnsi"/>
              </w:rPr>
            </w:pPr>
            <w:r w:rsidRPr="00540864">
              <w:rPr>
                <w:rFonts w:ascii="Cambria" w:hAnsi="Cambria" w:cstheme="minorHAnsi"/>
              </w:rPr>
              <w:t>Linz, J. J. (1990). Presidents vs. parliaments: The virtues of parliamentarism. Journal of Democracy, 1(4), 84-91.</w:t>
            </w:r>
          </w:p>
          <w:p w14:paraId="3658CC1B" w14:textId="77777777" w:rsidR="00540864" w:rsidRDefault="00540864" w:rsidP="00540864">
            <w:pPr>
              <w:rPr>
                <w:rFonts w:ascii="Cambria" w:hAnsi="Cambria" w:cstheme="minorHAnsi"/>
              </w:rPr>
            </w:pPr>
          </w:p>
          <w:p w14:paraId="5D456FA1" w14:textId="7B20DA04" w:rsidR="00540864" w:rsidRPr="00540864" w:rsidRDefault="00540864" w:rsidP="00540864">
            <w:pPr>
              <w:rPr>
                <w:rFonts w:ascii="Cambria" w:hAnsi="Cambria" w:cstheme="minorHAnsi"/>
              </w:rPr>
            </w:pPr>
            <w:r w:rsidRPr="00540864">
              <w:rPr>
                <w:rFonts w:ascii="Cambria" w:hAnsi="Cambria" w:cstheme="minorHAnsi"/>
              </w:rPr>
              <w:t>Moe, T. M., &amp; Caldwell, M. (1994). The institutional foundations of democratic government: A comparison of presidential and parliamentary systems. Journal of Institutional and Theoretical Economics (JITE)/Zeitschrift für die gesamte Staatswissenschaft, 150(1), 171-195.</w:t>
            </w:r>
          </w:p>
          <w:p w14:paraId="5FE8D6FE" w14:textId="77777777" w:rsidR="00540864" w:rsidRDefault="00540864" w:rsidP="00540864">
            <w:pPr>
              <w:rPr>
                <w:rFonts w:ascii="Cambria" w:hAnsi="Cambria" w:cstheme="minorHAnsi"/>
              </w:rPr>
            </w:pPr>
          </w:p>
          <w:p w14:paraId="4BD86B73" w14:textId="079AFD01" w:rsidR="00540864" w:rsidRPr="00540864" w:rsidRDefault="00540864" w:rsidP="00540864">
            <w:pPr>
              <w:rPr>
                <w:rFonts w:ascii="Cambria" w:hAnsi="Cambria" w:cstheme="minorHAnsi"/>
              </w:rPr>
            </w:pPr>
            <w:r w:rsidRPr="00540864">
              <w:rPr>
                <w:rFonts w:ascii="Cambria" w:hAnsi="Cambria" w:cstheme="minorHAnsi"/>
              </w:rPr>
              <w:t>Puig, G. V. (2002). Parliamentary versus presidential government. AQ-Australian Quarterly, 74(5).</w:t>
            </w:r>
          </w:p>
          <w:p w14:paraId="489EED33" w14:textId="77777777" w:rsidR="00540864" w:rsidRPr="00540864" w:rsidRDefault="00540864" w:rsidP="00540864">
            <w:pPr>
              <w:rPr>
                <w:rFonts w:ascii="Cambria" w:hAnsi="Cambria" w:cstheme="minorHAnsi"/>
              </w:rPr>
            </w:pPr>
            <w:r w:rsidRPr="00540864">
              <w:rPr>
                <w:rFonts w:ascii="Cambria" w:hAnsi="Cambria" w:cstheme="minorHAnsi"/>
              </w:rPr>
              <w:t>Sargentich, T. O. (1992). The presidential and parliamentary models of national government. Am. UJ Int'l L. &amp; Pol'y, 8, 579.</w:t>
            </w:r>
          </w:p>
          <w:p w14:paraId="6CD48745" w14:textId="77777777" w:rsidR="00540864" w:rsidRDefault="00540864" w:rsidP="00540864">
            <w:pPr>
              <w:rPr>
                <w:rFonts w:ascii="Cambria" w:hAnsi="Cambria" w:cstheme="minorHAnsi"/>
              </w:rPr>
            </w:pPr>
          </w:p>
          <w:p w14:paraId="4C0E69FD" w14:textId="028CC0FE" w:rsidR="007E66EF" w:rsidRPr="005660E7" w:rsidRDefault="00540864" w:rsidP="00540864">
            <w:pPr>
              <w:rPr>
                <w:rFonts w:ascii="Cambria" w:hAnsi="Cambria" w:cstheme="minorHAnsi"/>
              </w:rPr>
            </w:pPr>
            <w:r w:rsidRPr="00540864">
              <w:rPr>
                <w:rFonts w:ascii="Cambria" w:hAnsi="Cambria" w:cstheme="minorHAnsi"/>
              </w:rPr>
              <w:t>Siaroff, A. (2003). Comparative presidencies: The inadequacy of the presidential, semi‐presidential and parliamentary distinction. European journal of political research, 42(3), 287-312.</w:t>
            </w:r>
          </w:p>
        </w:tc>
      </w:tr>
    </w:tbl>
    <w:p w14:paraId="3210B73F" w14:textId="65C085DD" w:rsidR="00BD7B25" w:rsidRPr="00D82DB0" w:rsidRDefault="00BD7B25" w:rsidP="00BD7B25">
      <w:pPr>
        <w:rPr>
          <w:rFonts w:ascii="Cambria" w:hAnsi="Cambria" w:cstheme="minorHAnsi"/>
          <w:b/>
          <w:bCs/>
        </w:rPr>
      </w:pPr>
      <w:r w:rsidRPr="00D82DB0">
        <w:rPr>
          <w:rFonts w:ascii="Cambria" w:hAnsi="Cambria" w:cstheme="minorHAnsi"/>
          <w:b/>
          <w:bCs/>
        </w:rPr>
        <w:lastRenderedPageBreak/>
        <w:t xml:space="preserve">Assignments and Grades </w:t>
      </w:r>
    </w:p>
    <w:tbl>
      <w:tblPr>
        <w:tblStyle w:val="TableGrid"/>
        <w:tblW w:w="9371" w:type="dxa"/>
        <w:tblLook w:val="04A0" w:firstRow="1" w:lastRow="0" w:firstColumn="1" w:lastColumn="0" w:noHBand="0" w:noVBand="1"/>
      </w:tblPr>
      <w:tblGrid>
        <w:gridCol w:w="9371"/>
      </w:tblGrid>
      <w:tr w:rsidR="007E66EF" w:rsidRPr="00D82DB0" w14:paraId="754B50A1" w14:textId="77777777" w:rsidTr="007E66EF">
        <w:trPr>
          <w:trHeight w:val="1260"/>
        </w:trPr>
        <w:tc>
          <w:tcPr>
            <w:tcW w:w="9371" w:type="dxa"/>
          </w:tcPr>
          <w:p w14:paraId="799E1F4E" w14:textId="14485962" w:rsidR="007E66EF" w:rsidRDefault="003A2499" w:rsidP="00BD7B25">
            <w:pPr>
              <w:rPr>
                <w:rFonts w:ascii="Cambria" w:hAnsi="Cambria" w:cstheme="minorHAnsi"/>
                <w:b/>
                <w:bCs/>
              </w:rPr>
            </w:pPr>
            <w:r>
              <w:rPr>
                <w:rFonts w:ascii="Cambria" w:hAnsi="Cambria" w:cstheme="minorHAnsi"/>
              </w:rPr>
              <w:t>Pre-departure summary of instructor assigned readings. 500 word minimum for undergraduate students,</w:t>
            </w:r>
            <w:r w:rsidR="00407858">
              <w:rPr>
                <w:rFonts w:ascii="Cambria" w:hAnsi="Cambria" w:cstheme="minorHAnsi"/>
              </w:rPr>
              <w:t xml:space="preserve"> 750 word minimum for honors students,</w:t>
            </w:r>
            <w:r>
              <w:rPr>
                <w:rFonts w:ascii="Cambria" w:hAnsi="Cambria" w:cstheme="minorHAnsi"/>
              </w:rPr>
              <w:t xml:space="preserve"> 1,000 word minimum for graduate students. Due before departure. </w:t>
            </w:r>
            <w:r>
              <w:rPr>
                <w:rFonts w:ascii="Cambria" w:hAnsi="Cambria" w:cstheme="minorHAnsi"/>
                <w:b/>
                <w:bCs/>
              </w:rPr>
              <w:t>150 Points</w:t>
            </w:r>
          </w:p>
          <w:p w14:paraId="79AFD687" w14:textId="77777777" w:rsidR="003A2499" w:rsidRDefault="003A2499" w:rsidP="00BD7B25">
            <w:pPr>
              <w:rPr>
                <w:rFonts w:ascii="Cambria" w:hAnsi="Cambria" w:cstheme="minorHAnsi"/>
              </w:rPr>
            </w:pPr>
          </w:p>
          <w:p w14:paraId="7037A5D2" w14:textId="6F9FDFEA" w:rsidR="003A2499" w:rsidRDefault="003A2499" w:rsidP="00BD7B25">
            <w:pPr>
              <w:rPr>
                <w:rFonts w:ascii="Cambria" w:hAnsi="Cambria" w:cstheme="minorHAnsi"/>
              </w:rPr>
            </w:pPr>
            <w:r>
              <w:rPr>
                <w:rFonts w:ascii="Cambria" w:hAnsi="Cambria" w:cstheme="minorHAnsi"/>
              </w:rPr>
              <w:t xml:space="preserve">Pre-departure quiz based on the online lecture about Australian governance and administration system by instructor. Due before departure. </w:t>
            </w:r>
            <w:r>
              <w:rPr>
                <w:rFonts w:ascii="Cambria" w:hAnsi="Cambria" w:cstheme="minorHAnsi"/>
                <w:b/>
                <w:bCs/>
              </w:rPr>
              <w:t>50 Points</w:t>
            </w:r>
          </w:p>
          <w:p w14:paraId="5C23805A" w14:textId="142D4919" w:rsidR="003A2499" w:rsidRDefault="003A2499" w:rsidP="00BD7B25">
            <w:pPr>
              <w:rPr>
                <w:rFonts w:ascii="Cambria" w:hAnsi="Cambria" w:cstheme="minorHAnsi"/>
              </w:rPr>
            </w:pPr>
          </w:p>
          <w:p w14:paraId="2859F40A" w14:textId="550E8C4B" w:rsidR="00AF77AB" w:rsidRDefault="00AF77AB" w:rsidP="00BD7B25">
            <w:pPr>
              <w:rPr>
                <w:rFonts w:ascii="Cambria" w:hAnsi="Cambria" w:cstheme="minorHAnsi"/>
              </w:rPr>
            </w:pPr>
            <w:r>
              <w:rPr>
                <w:rFonts w:ascii="Cambria" w:hAnsi="Cambria" w:cstheme="minorHAnsi"/>
              </w:rPr>
              <w:t xml:space="preserve">Pre-departure quiz based on GoinGlobal Country Guide. Due before departure. </w:t>
            </w:r>
            <w:r>
              <w:rPr>
                <w:rFonts w:ascii="Cambria" w:hAnsi="Cambria" w:cstheme="minorHAnsi"/>
                <w:b/>
                <w:bCs/>
              </w:rPr>
              <w:t>50 Points</w:t>
            </w:r>
          </w:p>
          <w:p w14:paraId="2A28F3B0" w14:textId="77777777" w:rsidR="00AF77AB" w:rsidRPr="00AF77AB" w:rsidRDefault="00AF77AB" w:rsidP="00BD7B25">
            <w:pPr>
              <w:rPr>
                <w:rFonts w:ascii="Cambria" w:hAnsi="Cambria" w:cstheme="minorHAnsi"/>
              </w:rPr>
            </w:pPr>
          </w:p>
          <w:p w14:paraId="7ED2A417" w14:textId="77777777" w:rsidR="003A2499" w:rsidRDefault="003A2499" w:rsidP="00BD7B25">
            <w:pPr>
              <w:rPr>
                <w:rFonts w:ascii="Cambria" w:hAnsi="Cambria" w:cstheme="minorHAnsi"/>
              </w:rPr>
            </w:pPr>
            <w:r>
              <w:rPr>
                <w:rFonts w:ascii="Cambria" w:hAnsi="Cambria" w:cstheme="minorHAnsi"/>
              </w:rPr>
              <w:t xml:space="preserve">Presentation (five-minutes in length) on the student’s proposed research project. Outline due before departure, presentation given on-site. </w:t>
            </w:r>
            <w:r>
              <w:rPr>
                <w:rFonts w:ascii="Cambria" w:hAnsi="Cambria" w:cstheme="minorHAnsi"/>
                <w:b/>
                <w:bCs/>
              </w:rPr>
              <w:t>100 Points</w:t>
            </w:r>
          </w:p>
          <w:p w14:paraId="51C3C19D" w14:textId="77777777" w:rsidR="003A2499" w:rsidRDefault="003A2499" w:rsidP="00BD7B25">
            <w:pPr>
              <w:rPr>
                <w:rFonts w:ascii="Cambria" w:hAnsi="Cambria" w:cstheme="minorHAnsi"/>
              </w:rPr>
            </w:pPr>
          </w:p>
          <w:p w14:paraId="5288DF2F" w14:textId="4B5EF016" w:rsidR="003A2499" w:rsidRDefault="003A2499" w:rsidP="00BD7B25">
            <w:pPr>
              <w:rPr>
                <w:rFonts w:ascii="Cambria" w:hAnsi="Cambria" w:cstheme="minorHAnsi"/>
              </w:rPr>
            </w:pPr>
            <w:r>
              <w:rPr>
                <w:rFonts w:ascii="Cambria" w:hAnsi="Cambria" w:cstheme="minorHAnsi"/>
              </w:rPr>
              <w:t>Reflective journal of daily activities (</w:t>
            </w:r>
            <w:r w:rsidR="00AF77AB">
              <w:rPr>
                <w:rFonts w:ascii="Cambria" w:hAnsi="Cambria" w:cstheme="minorHAnsi"/>
              </w:rPr>
              <w:t>one page</w:t>
            </w:r>
            <w:r>
              <w:rPr>
                <w:rFonts w:ascii="Cambria" w:hAnsi="Cambria" w:cstheme="minorHAnsi"/>
              </w:rPr>
              <w:t xml:space="preserve"> for undergraduate</w:t>
            </w:r>
            <w:r w:rsidR="00407858">
              <w:rPr>
                <w:rFonts w:ascii="Cambria" w:hAnsi="Cambria" w:cstheme="minorHAnsi"/>
              </w:rPr>
              <w:t xml:space="preserve">, </w:t>
            </w:r>
            <w:r w:rsidR="00AF77AB">
              <w:rPr>
                <w:rFonts w:ascii="Cambria" w:hAnsi="Cambria" w:cstheme="minorHAnsi"/>
              </w:rPr>
              <w:t>two</w:t>
            </w:r>
            <w:r w:rsidR="00407858">
              <w:rPr>
                <w:rFonts w:ascii="Cambria" w:hAnsi="Cambria" w:cstheme="minorHAnsi"/>
              </w:rPr>
              <w:t xml:space="preserve"> page</w:t>
            </w:r>
            <w:r w:rsidR="00AF77AB">
              <w:rPr>
                <w:rFonts w:ascii="Cambria" w:hAnsi="Cambria" w:cstheme="minorHAnsi"/>
              </w:rPr>
              <w:t>s</w:t>
            </w:r>
            <w:r w:rsidR="00407858">
              <w:rPr>
                <w:rFonts w:ascii="Cambria" w:hAnsi="Cambria" w:cstheme="minorHAnsi"/>
              </w:rPr>
              <w:t xml:space="preserve"> for honors students,</w:t>
            </w:r>
            <w:r>
              <w:rPr>
                <w:rFonts w:ascii="Cambria" w:hAnsi="Cambria" w:cstheme="minorHAnsi"/>
              </w:rPr>
              <w:t xml:space="preserve"> and </w:t>
            </w:r>
            <w:r w:rsidR="00AF77AB">
              <w:rPr>
                <w:rFonts w:ascii="Cambria" w:hAnsi="Cambria" w:cstheme="minorHAnsi"/>
              </w:rPr>
              <w:t>three</w:t>
            </w:r>
            <w:r>
              <w:rPr>
                <w:rFonts w:ascii="Cambria" w:hAnsi="Cambria" w:cstheme="minorHAnsi"/>
              </w:rPr>
              <w:t xml:space="preserve"> page</w:t>
            </w:r>
            <w:r w:rsidR="00AF77AB">
              <w:rPr>
                <w:rFonts w:ascii="Cambria" w:hAnsi="Cambria" w:cstheme="minorHAnsi"/>
              </w:rPr>
              <w:t>s</w:t>
            </w:r>
            <w:r>
              <w:rPr>
                <w:rFonts w:ascii="Cambria" w:hAnsi="Cambria" w:cstheme="minorHAnsi"/>
              </w:rPr>
              <w:t xml:space="preserve"> for graduate students, per day). Instructor will give specific questions for students to answer each day. Due two weeks after return. </w:t>
            </w:r>
            <w:r>
              <w:rPr>
                <w:rFonts w:ascii="Cambria" w:hAnsi="Cambria" w:cstheme="minorHAnsi"/>
                <w:b/>
                <w:bCs/>
              </w:rPr>
              <w:t>300 Points</w:t>
            </w:r>
          </w:p>
          <w:p w14:paraId="22D4313B" w14:textId="77777777" w:rsidR="003A2499" w:rsidRDefault="003A2499" w:rsidP="00BD7B25">
            <w:pPr>
              <w:rPr>
                <w:rFonts w:ascii="Cambria" w:hAnsi="Cambria" w:cstheme="minorHAnsi"/>
              </w:rPr>
            </w:pPr>
          </w:p>
          <w:p w14:paraId="2B65F942" w14:textId="695CEBEC" w:rsidR="003A2499" w:rsidRDefault="003A2499" w:rsidP="00BD7B25">
            <w:pPr>
              <w:rPr>
                <w:rFonts w:ascii="Cambria" w:hAnsi="Cambria" w:cstheme="minorHAnsi"/>
              </w:rPr>
            </w:pPr>
            <w:r>
              <w:rPr>
                <w:rFonts w:ascii="Cambria" w:hAnsi="Cambria" w:cstheme="minorHAnsi"/>
              </w:rPr>
              <w:t>Written appraisal (two pages for undergraduate</w:t>
            </w:r>
            <w:r w:rsidR="00407858">
              <w:rPr>
                <w:rFonts w:ascii="Cambria" w:hAnsi="Cambria" w:cstheme="minorHAnsi"/>
              </w:rPr>
              <w:t>, three pages for honors students,</w:t>
            </w:r>
            <w:r>
              <w:rPr>
                <w:rFonts w:ascii="Cambria" w:hAnsi="Cambria" w:cstheme="minorHAnsi"/>
              </w:rPr>
              <w:t xml:space="preserve"> and four pages for graduate students) of how the indigenous peoples of both nations (Australia &amp; United States) are included and considered in their respective governance and administrative systems. Due two weeks after return. </w:t>
            </w:r>
            <w:r>
              <w:rPr>
                <w:rFonts w:ascii="Cambria" w:hAnsi="Cambria" w:cstheme="minorHAnsi"/>
                <w:b/>
                <w:bCs/>
              </w:rPr>
              <w:t>100 Points</w:t>
            </w:r>
          </w:p>
          <w:p w14:paraId="71321DD5" w14:textId="77777777" w:rsidR="003A2499" w:rsidRDefault="003A2499" w:rsidP="00BD7B25">
            <w:pPr>
              <w:rPr>
                <w:rFonts w:ascii="Cambria" w:hAnsi="Cambria" w:cstheme="minorHAnsi"/>
              </w:rPr>
            </w:pPr>
          </w:p>
          <w:p w14:paraId="19AF3C59" w14:textId="541DCFCD" w:rsidR="003A2499" w:rsidRDefault="003A2499" w:rsidP="00BD7B25">
            <w:pPr>
              <w:rPr>
                <w:rFonts w:ascii="Cambria" w:hAnsi="Cambria" w:cstheme="minorHAnsi"/>
                <w:b/>
                <w:bCs/>
              </w:rPr>
            </w:pPr>
            <w:r>
              <w:rPr>
                <w:rFonts w:ascii="Cambria" w:hAnsi="Cambria" w:cstheme="minorHAnsi"/>
              </w:rPr>
              <w:t>Research paper (seven pages for undergraduate</w:t>
            </w:r>
            <w:r w:rsidR="00407858">
              <w:rPr>
                <w:rFonts w:ascii="Cambria" w:hAnsi="Cambria" w:cstheme="minorHAnsi"/>
              </w:rPr>
              <w:t>,</w:t>
            </w:r>
            <w:r>
              <w:rPr>
                <w:rFonts w:ascii="Cambria" w:hAnsi="Cambria" w:cstheme="minorHAnsi"/>
              </w:rPr>
              <w:t xml:space="preserve"> and ten pages for </w:t>
            </w:r>
            <w:r w:rsidR="00407858">
              <w:rPr>
                <w:rFonts w:ascii="Cambria" w:hAnsi="Cambria" w:cstheme="minorHAnsi"/>
              </w:rPr>
              <w:t xml:space="preserve">honors and </w:t>
            </w:r>
            <w:r>
              <w:rPr>
                <w:rFonts w:ascii="Cambria" w:hAnsi="Cambria" w:cstheme="minorHAnsi"/>
              </w:rPr>
              <w:t xml:space="preserve">graduate students, not including cover page and reference list) on how the Australian and United States systems of governance have resulted in a policy solution for a particular policy problem. Minimum of five academic sources for undergraduate students and ten academic sources for graduate students. Due two weeks after return. </w:t>
            </w:r>
            <w:r>
              <w:rPr>
                <w:rFonts w:ascii="Cambria" w:hAnsi="Cambria" w:cstheme="minorHAnsi"/>
                <w:b/>
                <w:bCs/>
              </w:rPr>
              <w:t>300 Points</w:t>
            </w:r>
          </w:p>
          <w:p w14:paraId="1EB6B96D" w14:textId="77777777" w:rsidR="00B24D87" w:rsidRDefault="00B24D87" w:rsidP="00BD7B25">
            <w:pPr>
              <w:rPr>
                <w:rFonts w:ascii="Cambria" w:hAnsi="Cambria" w:cstheme="minorHAnsi"/>
                <w:b/>
                <w:bCs/>
              </w:rPr>
            </w:pPr>
          </w:p>
          <w:p w14:paraId="2022E22B" w14:textId="30F35559" w:rsidR="00B24D87" w:rsidRPr="003A2499" w:rsidRDefault="00B24D87" w:rsidP="00BD7B25">
            <w:pPr>
              <w:rPr>
                <w:rFonts w:ascii="Cambria" w:hAnsi="Cambria" w:cstheme="minorHAnsi"/>
                <w:b/>
                <w:bCs/>
              </w:rPr>
            </w:pPr>
            <w:r>
              <w:rPr>
                <w:rFonts w:ascii="Cambria" w:hAnsi="Cambria" w:cstheme="minorHAnsi"/>
                <w:b/>
                <w:bCs/>
              </w:rPr>
              <w:t>Total Points: 10</w:t>
            </w:r>
            <w:r w:rsidR="00AF77AB">
              <w:rPr>
                <w:rFonts w:ascii="Cambria" w:hAnsi="Cambria" w:cstheme="minorHAnsi"/>
                <w:b/>
                <w:bCs/>
              </w:rPr>
              <w:t>50</w:t>
            </w:r>
          </w:p>
        </w:tc>
      </w:tr>
    </w:tbl>
    <w:p w14:paraId="5C98D5B5" w14:textId="669DE729" w:rsidR="00BD7B25" w:rsidRPr="00D82DB0" w:rsidRDefault="00BD7B25" w:rsidP="00BD7B25">
      <w:pPr>
        <w:rPr>
          <w:rFonts w:ascii="Cambria" w:hAnsi="Cambria" w:cstheme="minorHAnsi"/>
        </w:rPr>
      </w:pPr>
    </w:p>
    <w:p w14:paraId="5FDBBCFA" w14:textId="77777777" w:rsidR="00BD7B25" w:rsidRPr="00D82DB0" w:rsidRDefault="00BD7B25" w:rsidP="00BD7B25">
      <w:pPr>
        <w:rPr>
          <w:rFonts w:ascii="Cambria" w:hAnsi="Cambria" w:cstheme="minorHAnsi"/>
        </w:rPr>
      </w:pPr>
      <w:r w:rsidRPr="00D82DB0">
        <w:rPr>
          <w:rFonts w:ascii="Cambria" w:hAnsi="Cambria" w:cstheme="minorHAnsi"/>
          <w:b/>
          <w:bCs/>
        </w:rPr>
        <w:t>Grading Scale</w:t>
      </w:r>
    </w:p>
    <w:p w14:paraId="0BEDBD7B" w14:textId="00D1D317" w:rsidR="00BD7B25" w:rsidRPr="00D82DB0" w:rsidRDefault="00BD7B25" w:rsidP="00BD7B25">
      <w:pPr>
        <w:rPr>
          <w:rFonts w:ascii="Cambria" w:hAnsi="Cambria" w:cstheme="minorHAnsi"/>
        </w:rPr>
      </w:pPr>
      <w:r w:rsidRPr="00D82DB0">
        <w:rPr>
          <w:rFonts w:ascii="Cambria" w:hAnsi="Cambria" w:cstheme="minorHAnsi"/>
        </w:rPr>
        <w:t xml:space="preserve">The following scale will be used to compute your grade. </w:t>
      </w:r>
    </w:p>
    <w:tbl>
      <w:tblPr>
        <w:tblStyle w:val="TableGrid"/>
        <w:tblW w:w="9403" w:type="dxa"/>
        <w:tblLook w:val="04A0" w:firstRow="1" w:lastRow="0" w:firstColumn="1" w:lastColumn="0" w:noHBand="0" w:noVBand="1"/>
      </w:tblPr>
      <w:tblGrid>
        <w:gridCol w:w="9403"/>
      </w:tblGrid>
      <w:tr w:rsidR="007E66EF" w:rsidRPr="00D82DB0" w14:paraId="3FF886AD" w14:textId="77777777" w:rsidTr="007E66EF">
        <w:trPr>
          <w:trHeight w:val="1135"/>
        </w:trPr>
        <w:tc>
          <w:tcPr>
            <w:tcW w:w="9403" w:type="dxa"/>
          </w:tcPr>
          <w:p w14:paraId="4796A9EC" w14:textId="77777777" w:rsidR="007E66EF" w:rsidRPr="00B24D87" w:rsidRDefault="00540864" w:rsidP="00BD7B25">
            <w:pPr>
              <w:rPr>
                <w:rFonts w:ascii="Cambria" w:hAnsi="Cambria" w:cstheme="minorHAnsi"/>
                <w:b/>
                <w:bCs/>
              </w:rPr>
            </w:pPr>
            <w:r w:rsidRPr="00B24D87">
              <w:rPr>
                <w:rFonts w:ascii="Cambria" w:hAnsi="Cambria" w:cstheme="minorHAnsi"/>
                <w:b/>
                <w:bCs/>
              </w:rPr>
              <w:t>Scale</w:t>
            </w:r>
          </w:p>
          <w:p w14:paraId="0ECBAA2C" w14:textId="7DB6E590" w:rsidR="00540864" w:rsidRDefault="00540864" w:rsidP="00BD7B25">
            <w:pPr>
              <w:rPr>
                <w:rFonts w:ascii="Cambria" w:hAnsi="Cambria" w:cstheme="minorHAnsi"/>
              </w:rPr>
            </w:pPr>
            <w:r>
              <w:rPr>
                <w:rFonts w:ascii="Cambria" w:hAnsi="Cambria" w:cstheme="minorHAnsi"/>
              </w:rPr>
              <w:t xml:space="preserve">1000-900 Points </w:t>
            </w:r>
            <w:r w:rsidR="00B24D87">
              <w:rPr>
                <w:rFonts w:ascii="Cambria" w:hAnsi="Cambria" w:cstheme="minorHAnsi"/>
              </w:rPr>
              <w:t>=</w:t>
            </w:r>
            <w:r>
              <w:rPr>
                <w:rFonts w:ascii="Cambria" w:hAnsi="Cambria" w:cstheme="minorHAnsi"/>
              </w:rPr>
              <w:t xml:space="preserve"> A</w:t>
            </w:r>
          </w:p>
          <w:p w14:paraId="43AED470" w14:textId="77777777" w:rsidR="00540864" w:rsidRDefault="00540864" w:rsidP="00BD7B25">
            <w:pPr>
              <w:rPr>
                <w:rFonts w:ascii="Cambria" w:hAnsi="Cambria" w:cstheme="minorHAnsi"/>
              </w:rPr>
            </w:pPr>
            <w:r>
              <w:rPr>
                <w:rFonts w:ascii="Cambria" w:hAnsi="Cambria" w:cstheme="minorHAnsi"/>
              </w:rPr>
              <w:t>899-800 = B</w:t>
            </w:r>
          </w:p>
          <w:p w14:paraId="461E9A73" w14:textId="77777777" w:rsidR="00540864" w:rsidRDefault="00540864" w:rsidP="00BD7B25">
            <w:pPr>
              <w:rPr>
                <w:rFonts w:ascii="Cambria" w:hAnsi="Cambria" w:cstheme="minorHAnsi"/>
              </w:rPr>
            </w:pPr>
            <w:r>
              <w:rPr>
                <w:rFonts w:ascii="Cambria" w:hAnsi="Cambria" w:cstheme="minorHAnsi"/>
              </w:rPr>
              <w:t>799-700 = C</w:t>
            </w:r>
          </w:p>
          <w:p w14:paraId="192E0B19" w14:textId="77777777" w:rsidR="00540864" w:rsidRDefault="00540864" w:rsidP="00BD7B25">
            <w:pPr>
              <w:rPr>
                <w:rFonts w:ascii="Cambria" w:hAnsi="Cambria" w:cstheme="minorHAnsi"/>
              </w:rPr>
            </w:pPr>
            <w:r>
              <w:rPr>
                <w:rFonts w:ascii="Cambria" w:hAnsi="Cambria" w:cstheme="minorHAnsi"/>
              </w:rPr>
              <w:t>699-600 = D</w:t>
            </w:r>
          </w:p>
          <w:p w14:paraId="7BCB43E4" w14:textId="3056A19B" w:rsidR="00540864" w:rsidRPr="005660E7" w:rsidRDefault="00540864" w:rsidP="00BD7B25">
            <w:pPr>
              <w:rPr>
                <w:rFonts w:ascii="Cambria" w:hAnsi="Cambria" w:cstheme="minorHAnsi"/>
              </w:rPr>
            </w:pPr>
            <w:r>
              <w:rPr>
                <w:rFonts w:ascii="Cambria" w:hAnsi="Cambria" w:cstheme="minorHAnsi"/>
              </w:rPr>
              <w:t>&lt;600 = F</w:t>
            </w:r>
          </w:p>
        </w:tc>
      </w:tr>
    </w:tbl>
    <w:p w14:paraId="64118BB6" w14:textId="67E3CF41" w:rsidR="00BD7B25" w:rsidRPr="00D82DB0" w:rsidRDefault="00BD7B25" w:rsidP="00BD7B25">
      <w:pPr>
        <w:rPr>
          <w:rFonts w:ascii="Cambria" w:hAnsi="Cambria" w:cstheme="minorHAnsi"/>
          <w:b/>
          <w:bCs/>
        </w:rPr>
      </w:pPr>
    </w:p>
    <w:p w14:paraId="3B92A620" w14:textId="13924376" w:rsidR="00A20EAF" w:rsidRPr="00D82DB0" w:rsidRDefault="00AA59A2" w:rsidP="00DF3C57">
      <w:pPr>
        <w:rPr>
          <w:rFonts w:ascii="Cambria" w:hAnsi="Cambria" w:cstheme="minorHAnsi"/>
          <w:b/>
          <w:bCs/>
        </w:rPr>
      </w:pPr>
      <w:r w:rsidRPr="00D82DB0">
        <w:rPr>
          <w:rFonts w:ascii="Cambria" w:hAnsi="Cambria" w:cstheme="minorHAnsi"/>
          <w:b/>
          <w:bCs/>
        </w:rPr>
        <w:t>Onsite</w:t>
      </w:r>
      <w:r w:rsidR="000A1A82" w:rsidRPr="00D82DB0">
        <w:rPr>
          <w:rFonts w:ascii="Cambria" w:hAnsi="Cambria" w:cstheme="minorHAnsi"/>
          <w:b/>
          <w:bCs/>
        </w:rPr>
        <w:t xml:space="preserve"> Learning Experiences </w:t>
      </w:r>
      <w:r w:rsidR="00B33DCC" w:rsidRPr="00D82DB0">
        <w:rPr>
          <w:rFonts w:ascii="Cambria" w:hAnsi="Cambria" w:cstheme="minorHAnsi"/>
          <w:b/>
          <w:bCs/>
        </w:rPr>
        <w:t>and Activities</w:t>
      </w:r>
    </w:p>
    <w:p w14:paraId="5B57FA31" w14:textId="25BBD2E5" w:rsidR="00A96E71" w:rsidRPr="00D82DB0" w:rsidRDefault="0090192F" w:rsidP="00DF3C57">
      <w:pPr>
        <w:rPr>
          <w:rFonts w:ascii="Cambria" w:hAnsi="Cambria" w:cstheme="minorHAnsi"/>
        </w:rPr>
      </w:pPr>
      <w:r w:rsidRPr="00D82DB0">
        <w:rPr>
          <w:rFonts w:ascii="Cambria" w:hAnsi="Cambria" w:cstheme="minorHAnsi"/>
        </w:rPr>
        <w:t>O</w:t>
      </w:r>
      <w:r w:rsidR="00D509DB" w:rsidRPr="00D82DB0">
        <w:rPr>
          <w:rFonts w:ascii="Cambria" w:hAnsi="Cambria" w:cstheme="minorHAnsi"/>
        </w:rPr>
        <w:t>nsite learning experiences</w:t>
      </w:r>
      <w:r w:rsidR="00A96E71" w:rsidRPr="00D82DB0">
        <w:rPr>
          <w:rFonts w:ascii="Cambria" w:hAnsi="Cambria" w:cstheme="minorHAnsi"/>
        </w:rPr>
        <w:t xml:space="preserve"> </w:t>
      </w:r>
      <w:r w:rsidRPr="00D82DB0">
        <w:rPr>
          <w:rFonts w:ascii="Cambria" w:hAnsi="Cambria" w:cstheme="minorHAnsi"/>
        </w:rPr>
        <w:t xml:space="preserve">in this class will likely include the following site visits. </w:t>
      </w:r>
      <w:r w:rsidR="00A96E71" w:rsidRPr="00D82DB0">
        <w:rPr>
          <w:rFonts w:ascii="Cambria" w:hAnsi="Cambria" w:cstheme="minorHAnsi"/>
        </w:rPr>
        <w:t xml:space="preserve">This is a tentative list which will be replaced with a detailed daily itinerary </w:t>
      </w:r>
      <w:r w:rsidR="00D509DB" w:rsidRPr="00D82DB0">
        <w:rPr>
          <w:rFonts w:ascii="Cambria" w:hAnsi="Cambria" w:cstheme="minorHAnsi"/>
        </w:rPr>
        <w:t>of class meetings and field trips prior to the departure date.</w:t>
      </w:r>
    </w:p>
    <w:tbl>
      <w:tblPr>
        <w:tblStyle w:val="TableGrid"/>
        <w:tblW w:w="0" w:type="auto"/>
        <w:tblLook w:val="04A0" w:firstRow="1" w:lastRow="0" w:firstColumn="1" w:lastColumn="0" w:noHBand="0" w:noVBand="1"/>
      </w:tblPr>
      <w:tblGrid>
        <w:gridCol w:w="9339"/>
      </w:tblGrid>
      <w:tr w:rsidR="007E66EF" w:rsidRPr="00D82DB0" w14:paraId="471729EB" w14:textId="77777777" w:rsidTr="007E66EF">
        <w:trPr>
          <w:trHeight w:val="2510"/>
        </w:trPr>
        <w:tc>
          <w:tcPr>
            <w:tcW w:w="9339" w:type="dxa"/>
          </w:tcPr>
          <w:p w14:paraId="14A01A09" w14:textId="71B2BE32" w:rsidR="000138E6" w:rsidRDefault="000138E6" w:rsidP="000138E6">
            <w:pPr>
              <w:rPr>
                <w:rFonts w:ascii="Cambria" w:hAnsi="Cambria" w:cstheme="minorHAnsi"/>
              </w:rPr>
            </w:pPr>
            <w:r>
              <w:rPr>
                <w:rFonts w:ascii="Cambria" w:hAnsi="Cambria" w:cstheme="minorHAnsi"/>
              </w:rPr>
              <w:t>Examples of onsite learning experience and activities. Subject to change.</w:t>
            </w:r>
          </w:p>
          <w:p w14:paraId="71376FAF" w14:textId="77777777" w:rsidR="000138E6" w:rsidRPr="000138E6" w:rsidRDefault="000138E6" w:rsidP="000138E6">
            <w:pPr>
              <w:rPr>
                <w:rFonts w:ascii="Cambria" w:hAnsi="Cambria" w:cstheme="minorHAnsi"/>
              </w:rPr>
            </w:pPr>
          </w:p>
          <w:p w14:paraId="78D51910" w14:textId="1E894EC8" w:rsidR="00540864" w:rsidRDefault="00540864" w:rsidP="00540864">
            <w:pPr>
              <w:pStyle w:val="ListParagraph"/>
              <w:numPr>
                <w:ilvl w:val="0"/>
                <w:numId w:val="4"/>
              </w:numPr>
              <w:rPr>
                <w:rFonts w:ascii="Cambria" w:hAnsi="Cambria" w:cstheme="minorHAnsi"/>
              </w:rPr>
            </w:pPr>
            <w:r>
              <w:rPr>
                <w:rFonts w:ascii="Cambria" w:hAnsi="Cambria" w:cstheme="minorHAnsi"/>
              </w:rPr>
              <w:t xml:space="preserve">Visit with Daintree National Park Administration to learn how the Queensland Government’s Department of the Environment, Tourism, Science and Innovation funds and manages parks and other natural resources. </w:t>
            </w:r>
          </w:p>
          <w:p w14:paraId="68FF8644" w14:textId="284246D7" w:rsidR="00540864" w:rsidRDefault="00540864" w:rsidP="00540864">
            <w:pPr>
              <w:pStyle w:val="ListParagraph"/>
              <w:numPr>
                <w:ilvl w:val="0"/>
                <w:numId w:val="4"/>
              </w:numPr>
              <w:rPr>
                <w:rFonts w:ascii="Cambria" w:hAnsi="Cambria" w:cstheme="minorHAnsi"/>
              </w:rPr>
            </w:pPr>
            <w:r>
              <w:rPr>
                <w:rFonts w:ascii="Cambria" w:hAnsi="Cambria" w:cstheme="minorHAnsi"/>
              </w:rPr>
              <w:t xml:space="preserve">Visit </w:t>
            </w:r>
            <w:r w:rsidR="00491857">
              <w:rPr>
                <w:rFonts w:ascii="Cambria" w:hAnsi="Cambria" w:cstheme="minorHAnsi"/>
              </w:rPr>
              <w:t>Douglas Shire Court House Museum to learn the history of the region and how government policies support local non-profits.</w:t>
            </w:r>
          </w:p>
          <w:p w14:paraId="11A463ED" w14:textId="67E0DE4E" w:rsidR="00491857" w:rsidRDefault="00491857" w:rsidP="00540864">
            <w:pPr>
              <w:pStyle w:val="ListParagraph"/>
              <w:numPr>
                <w:ilvl w:val="0"/>
                <w:numId w:val="4"/>
              </w:numPr>
              <w:rPr>
                <w:rFonts w:ascii="Cambria" w:hAnsi="Cambria" w:cstheme="minorHAnsi"/>
              </w:rPr>
            </w:pPr>
            <w:r>
              <w:rPr>
                <w:rFonts w:ascii="Cambria" w:hAnsi="Cambria" w:cstheme="minorHAnsi"/>
              </w:rPr>
              <w:t>Meet with Douglas Shire Council to learn about local and federal governance.</w:t>
            </w:r>
          </w:p>
          <w:p w14:paraId="38BD4B13" w14:textId="6DF87C56" w:rsidR="00491857" w:rsidRDefault="00491857" w:rsidP="00540864">
            <w:pPr>
              <w:pStyle w:val="ListParagraph"/>
              <w:numPr>
                <w:ilvl w:val="0"/>
                <w:numId w:val="4"/>
              </w:numPr>
              <w:rPr>
                <w:rFonts w:ascii="Cambria" w:hAnsi="Cambria" w:cstheme="minorHAnsi"/>
              </w:rPr>
            </w:pPr>
            <w:r>
              <w:rPr>
                <w:rFonts w:ascii="Cambria" w:hAnsi="Cambria" w:cstheme="minorHAnsi"/>
              </w:rPr>
              <w:t>Visit Old Government House in Sydney to learn about the colonial history of Australia and early forms of government.</w:t>
            </w:r>
          </w:p>
          <w:p w14:paraId="70C6E46D" w14:textId="4004AFB0" w:rsidR="00491857" w:rsidRDefault="00491857" w:rsidP="00540864">
            <w:pPr>
              <w:pStyle w:val="ListParagraph"/>
              <w:numPr>
                <w:ilvl w:val="0"/>
                <w:numId w:val="4"/>
              </w:numPr>
              <w:rPr>
                <w:rFonts w:ascii="Cambria" w:hAnsi="Cambria" w:cstheme="minorHAnsi"/>
              </w:rPr>
            </w:pPr>
            <w:r>
              <w:rPr>
                <w:rFonts w:ascii="Cambria" w:hAnsi="Cambria" w:cstheme="minorHAnsi"/>
              </w:rPr>
              <w:t xml:space="preserve">Meet with Aboriginal Heritage Office officials to learn about how local councils are working to protect Aboriginal sites and promote Aboriginal history and heritage. </w:t>
            </w:r>
          </w:p>
          <w:p w14:paraId="0ED4CF41" w14:textId="1F7E692A" w:rsidR="00491857" w:rsidRDefault="00491857" w:rsidP="00540864">
            <w:pPr>
              <w:pStyle w:val="ListParagraph"/>
              <w:numPr>
                <w:ilvl w:val="0"/>
                <w:numId w:val="4"/>
              </w:numPr>
              <w:rPr>
                <w:rFonts w:ascii="Cambria" w:hAnsi="Cambria" w:cstheme="minorHAnsi"/>
              </w:rPr>
            </w:pPr>
            <w:r>
              <w:rPr>
                <w:rFonts w:ascii="Cambria" w:hAnsi="Cambria" w:cstheme="minorHAnsi"/>
              </w:rPr>
              <w:t>Scheduled tour of Parliament of Australia to learn more about the parliamentary system in the country.</w:t>
            </w:r>
          </w:p>
          <w:p w14:paraId="4F952FDF" w14:textId="65DF7018" w:rsidR="00491857" w:rsidRDefault="000138E6" w:rsidP="00540864">
            <w:pPr>
              <w:pStyle w:val="ListParagraph"/>
              <w:numPr>
                <w:ilvl w:val="0"/>
                <w:numId w:val="4"/>
              </w:numPr>
              <w:rPr>
                <w:rFonts w:ascii="Cambria" w:hAnsi="Cambria" w:cstheme="minorHAnsi"/>
              </w:rPr>
            </w:pPr>
            <w:r>
              <w:rPr>
                <w:rFonts w:ascii="Cambria" w:hAnsi="Cambria" w:cstheme="minorHAnsi"/>
              </w:rPr>
              <w:t>Meet with staff members of the Department of the Prime Minister and Cabinet to learn more about how the Executive operates within a parliamentary system.</w:t>
            </w:r>
          </w:p>
          <w:p w14:paraId="47DC2A0D" w14:textId="09A106B5" w:rsidR="000138E6" w:rsidRDefault="000138E6" w:rsidP="00540864">
            <w:pPr>
              <w:pStyle w:val="ListParagraph"/>
              <w:numPr>
                <w:ilvl w:val="0"/>
                <w:numId w:val="4"/>
              </w:numPr>
              <w:rPr>
                <w:rFonts w:ascii="Cambria" w:hAnsi="Cambria" w:cstheme="minorHAnsi"/>
              </w:rPr>
            </w:pPr>
            <w:r>
              <w:rPr>
                <w:rFonts w:ascii="Cambria" w:hAnsi="Cambria" w:cstheme="minorHAnsi"/>
              </w:rPr>
              <w:t>Visit the Museum of Australian Democracy at Old Parliament House to learn about the history of Australian Democracy.</w:t>
            </w:r>
          </w:p>
          <w:p w14:paraId="018B10E5" w14:textId="1348777C" w:rsidR="000138E6" w:rsidRPr="00540864" w:rsidRDefault="000138E6" w:rsidP="00540864">
            <w:pPr>
              <w:pStyle w:val="ListParagraph"/>
              <w:numPr>
                <w:ilvl w:val="0"/>
                <w:numId w:val="4"/>
              </w:numPr>
              <w:rPr>
                <w:rFonts w:ascii="Cambria" w:hAnsi="Cambria" w:cstheme="minorHAnsi"/>
              </w:rPr>
            </w:pPr>
            <w:r>
              <w:rPr>
                <w:rFonts w:ascii="Cambria" w:hAnsi="Cambria" w:cstheme="minorHAnsi"/>
              </w:rPr>
              <w:t>Tour the High Court of Australia to learn about the role of the judiciary and its interaction with the other branch of government.</w:t>
            </w:r>
          </w:p>
          <w:p w14:paraId="69218C7B" w14:textId="06828144" w:rsidR="007E66EF" w:rsidRPr="00646183" w:rsidRDefault="00646183" w:rsidP="00646183">
            <w:pPr>
              <w:pStyle w:val="ListParagraph"/>
              <w:numPr>
                <w:ilvl w:val="0"/>
                <w:numId w:val="4"/>
              </w:numPr>
              <w:rPr>
                <w:rFonts w:ascii="Cambria" w:hAnsi="Cambria" w:cstheme="minorHAnsi"/>
              </w:rPr>
            </w:pPr>
            <w:r>
              <w:rPr>
                <w:rFonts w:ascii="Cambria" w:hAnsi="Cambria" w:cstheme="minorHAnsi"/>
              </w:rPr>
              <w:t>Fireworks</w:t>
            </w:r>
          </w:p>
        </w:tc>
      </w:tr>
    </w:tbl>
    <w:p w14:paraId="72679D08" w14:textId="043B2767" w:rsidR="00A20EAF" w:rsidRPr="00D82DB0" w:rsidRDefault="00A20EAF" w:rsidP="00DF3C57">
      <w:pPr>
        <w:rPr>
          <w:rFonts w:ascii="Cambria" w:hAnsi="Cambria" w:cstheme="minorHAnsi"/>
          <w:b/>
          <w:bCs/>
        </w:rPr>
      </w:pPr>
    </w:p>
    <w:p w14:paraId="5307D5E4" w14:textId="27DCEC93" w:rsidR="003205EC" w:rsidRPr="00D82DB0" w:rsidRDefault="000A1A82" w:rsidP="00DF3C57">
      <w:pPr>
        <w:rPr>
          <w:rFonts w:ascii="Cambria" w:hAnsi="Cambria" w:cstheme="minorHAnsi"/>
        </w:rPr>
      </w:pPr>
      <w:r w:rsidRPr="00D82DB0">
        <w:rPr>
          <w:rFonts w:ascii="Cambria" w:hAnsi="Cambria" w:cstheme="minorHAnsi"/>
          <w:b/>
          <w:bCs/>
        </w:rPr>
        <w:t>Attendance Policy</w:t>
      </w:r>
      <w:r w:rsidRPr="00D82DB0">
        <w:rPr>
          <w:rFonts w:ascii="Cambria" w:hAnsi="Cambria" w:cstheme="minorHAnsi"/>
        </w:rPr>
        <w:t xml:space="preserve"> </w:t>
      </w:r>
    </w:p>
    <w:p w14:paraId="7B4452FA" w14:textId="2A0F492D" w:rsidR="0073595D" w:rsidRPr="00D82DB0" w:rsidRDefault="000A1A82" w:rsidP="00DF3C57">
      <w:pPr>
        <w:rPr>
          <w:rFonts w:ascii="Cambria" w:hAnsi="Cambria" w:cstheme="minorHAnsi"/>
        </w:rPr>
      </w:pPr>
      <w:r w:rsidRPr="00D82DB0">
        <w:rPr>
          <w:rFonts w:ascii="Cambria" w:hAnsi="Cambria" w:cstheme="minorHAnsi"/>
        </w:rPr>
        <w:t xml:space="preserve">Attendance is mandatory at all scheduled activities and class meetings as well as field trip excursions. </w:t>
      </w:r>
      <w:r w:rsidR="006B3762" w:rsidRPr="00D82DB0">
        <w:rPr>
          <w:rFonts w:ascii="Cambria" w:hAnsi="Cambria" w:cstheme="minorHAnsi"/>
        </w:rPr>
        <w:t xml:space="preserve">This includes </w:t>
      </w:r>
      <w:r w:rsidR="00443AA9" w:rsidRPr="00D82DB0">
        <w:rPr>
          <w:rFonts w:ascii="Cambria" w:hAnsi="Cambria" w:cstheme="minorHAnsi"/>
        </w:rPr>
        <w:t xml:space="preserve">any </w:t>
      </w:r>
      <w:r w:rsidR="00A46A29" w:rsidRPr="00D82DB0">
        <w:rPr>
          <w:rFonts w:ascii="Cambria" w:hAnsi="Cambria" w:cstheme="minorHAnsi"/>
        </w:rPr>
        <w:t>virtual meeting</w:t>
      </w:r>
      <w:r w:rsidR="00443AA9" w:rsidRPr="00D82DB0">
        <w:rPr>
          <w:rFonts w:ascii="Cambria" w:hAnsi="Cambria" w:cstheme="minorHAnsi"/>
        </w:rPr>
        <w:t>s</w:t>
      </w:r>
      <w:r w:rsidR="00A46A29" w:rsidRPr="00D82DB0">
        <w:rPr>
          <w:rFonts w:ascii="Cambria" w:hAnsi="Cambria" w:cstheme="minorHAnsi"/>
        </w:rPr>
        <w:t xml:space="preserve"> </w:t>
      </w:r>
      <w:r w:rsidR="006B3762" w:rsidRPr="00D82DB0">
        <w:rPr>
          <w:rFonts w:ascii="Cambria" w:hAnsi="Cambria" w:cstheme="minorHAnsi"/>
        </w:rPr>
        <w:t>before and after the onsite experience</w:t>
      </w:r>
      <w:r w:rsidR="001615DA" w:rsidRPr="00D82DB0">
        <w:rPr>
          <w:rFonts w:ascii="Cambria" w:hAnsi="Cambria" w:cstheme="minorHAnsi"/>
        </w:rPr>
        <w:t xml:space="preserve">. </w:t>
      </w:r>
      <w:r w:rsidR="00C366D1" w:rsidRPr="00D82DB0">
        <w:rPr>
          <w:rFonts w:ascii="Cambria" w:hAnsi="Cambria" w:cstheme="minorHAnsi"/>
        </w:rPr>
        <w:t>Repeated absences, including for ill health, will require documentation</w:t>
      </w:r>
      <w:r w:rsidR="001C0C37" w:rsidRPr="00D82DB0">
        <w:rPr>
          <w:rFonts w:ascii="Cambria" w:hAnsi="Cambria" w:cstheme="minorHAnsi"/>
        </w:rPr>
        <w:t xml:space="preserve"> to be excused</w:t>
      </w:r>
      <w:r w:rsidR="00C366D1" w:rsidRPr="00D82DB0">
        <w:rPr>
          <w:rFonts w:ascii="Cambria" w:hAnsi="Cambria" w:cstheme="minorHAnsi"/>
        </w:rPr>
        <w:t>.</w:t>
      </w:r>
    </w:p>
    <w:tbl>
      <w:tblPr>
        <w:tblStyle w:val="TableGrid"/>
        <w:tblW w:w="0" w:type="auto"/>
        <w:tblLook w:val="04A0" w:firstRow="1" w:lastRow="0" w:firstColumn="1" w:lastColumn="0" w:noHBand="0" w:noVBand="1"/>
      </w:tblPr>
      <w:tblGrid>
        <w:gridCol w:w="9350"/>
      </w:tblGrid>
      <w:tr w:rsidR="007E66EF" w:rsidRPr="00D82DB0" w14:paraId="200B61ED" w14:textId="77777777" w:rsidTr="007E66EF">
        <w:trPr>
          <w:trHeight w:val="1448"/>
        </w:trPr>
        <w:tc>
          <w:tcPr>
            <w:tcW w:w="9350" w:type="dxa"/>
          </w:tcPr>
          <w:p w14:paraId="2B596884" w14:textId="56788CDE" w:rsidR="007E66EF" w:rsidRPr="005660E7" w:rsidRDefault="000138E6" w:rsidP="00DF3C57">
            <w:pPr>
              <w:rPr>
                <w:rFonts w:ascii="Cambria" w:hAnsi="Cambria" w:cstheme="minorHAnsi"/>
              </w:rPr>
            </w:pPr>
            <w:r>
              <w:rPr>
                <w:rFonts w:ascii="Cambria" w:hAnsi="Cambria" w:cstheme="minorHAnsi"/>
              </w:rPr>
              <w:lastRenderedPageBreak/>
              <w:t xml:space="preserve">Attendance is mandatory at all scheduled activities and class meetings, including field trip excursions, virtual meetings before departure to Australia, and after onsite experiences. Repeated absences, including for ill health, will require documentation to be excused. Each instance of an unexcused absence will result in a drop in letter grade. </w:t>
            </w:r>
          </w:p>
        </w:tc>
      </w:tr>
    </w:tbl>
    <w:p w14:paraId="22E9CBE6" w14:textId="13D96433" w:rsidR="003443B9" w:rsidRPr="00D82DB0" w:rsidRDefault="003443B9" w:rsidP="00DF3C57">
      <w:pPr>
        <w:rPr>
          <w:rFonts w:ascii="Cambria" w:hAnsi="Cambria" w:cstheme="minorHAnsi"/>
          <w:b/>
          <w:bCs/>
        </w:rPr>
      </w:pPr>
    </w:p>
    <w:p w14:paraId="3738064A" w14:textId="130ACC0F" w:rsidR="000A1A82" w:rsidRPr="00D82DB0" w:rsidRDefault="000A1A82" w:rsidP="00DF3C57">
      <w:pPr>
        <w:rPr>
          <w:rFonts w:ascii="Cambria" w:hAnsi="Cambria" w:cstheme="minorHAnsi"/>
        </w:rPr>
      </w:pPr>
      <w:r w:rsidRPr="00D82DB0">
        <w:rPr>
          <w:rFonts w:ascii="Cambria" w:hAnsi="Cambria" w:cstheme="minorHAnsi"/>
          <w:b/>
          <w:bCs/>
        </w:rPr>
        <w:t>Academic Integrity Policy</w:t>
      </w:r>
    </w:p>
    <w:tbl>
      <w:tblPr>
        <w:tblStyle w:val="TableGrid"/>
        <w:tblW w:w="0" w:type="auto"/>
        <w:tblLook w:val="04A0" w:firstRow="1" w:lastRow="0" w:firstColumn="1" w:lastColumn="0" w:noHBand="0" w:noVBand="1"/>
      </w:tblPr>
      <w:tblGrid>
        <w:gridCol w:w="9350"/>
      </w:tblGrid>
      <w:tr w:rsidR="007E66EF" w:rsidRPr="00D82DB0" w14:paraId="512B7BF5" w14:textId="77777777" w:rsidTr="007E66EF">
        <w:trPr>
          <w:trHeight w:val="1169"/>
        </w:trPr>
        <w:tc>
          <w:tcPr>
            <w:tcW w:w="9350" w:type="dxa"/>
          </w:tcPr>
          <w:p w14:paraId="17CA910E" w14:textId="69E33B8B" w:rsidR="007E66EF" w:rsidRPr="00D82DB0" w:rsidRDefault="000138E6" w:rsidP="00DF3C57">
            <w:pPr>
              <w:rPr>
                <w:rFonts w:ascii="Cambria" w:hAnsi="Cambria" w:cstheme="minorHAnsi"/>
              </w:rPr>
            </w:pPr>
            <w:r w:rsidRPr="000138E6">
              <w:rPr>
                <w:rFonts w:ascii="Cambria" w:hAnsi="Cambria" w:cstheme="minorHAnsi"/>
              </w:rPr>
              <w:t xml:space="preserve">It is a commitment individually and collectively that the students of CCSA will not lie, cheat, or plagiarize to gain an academic advantage over fellow students or avoid academic requirements.  Students, faculty, staff, and administrators of CCSA strive to achieve the highest standards of scholarship and integrity. Any violation of the Student or Graduate Student Honor Codes is a potentially serious offense because it threatens the quality of scholarship and undermines the integrity of the community. Any violation will be reported to the administrators of CCSA. Any incident of cheating or plagiarism will result in a “0” grade for the assignment.  </w:t>
            </w:r>
          </w:p>
        </w:tc>
      </w:tr>
    </w:tbl>
    <w:p w14:paraId="009BC6FE" w14:textId="7D8C12BC" w:rsidR="00DC13D3" w:rsidRPr="00D82DB0" w:rsidRDefault="00DC13D3" w:rsidP="00DF3C57">
      <w:pPr>
        <w:rPr>
          <w:rFonts w:ascii="Cambria" w:hAnsi="Cambria" w:cstheme="minorHAnsi"/>
        </w:rPr>
      </w:pPr>
    </w:p>
    <w:p w14:paraId="2E1F9C55" w14:textId="6B857845" w:rsidR="000A1A82" w:rsidRPr="00D82DB0" w:rsidRDefault="000A1A82" w:rsidP="00DF3C57">
      <w:pPr>
        <w:rPr>
          <w:rFonts w:ascii="Cambria" w:hAnsi="Cambria" w:cstheme="minorHAnsi"/>
        </w:rPr>
      </w:pPr>
      <w:r w:rsidRPr="00D82DB0">
        <w:rPr>
          <w:rFonts w:ascii="Cambria" w:hAnsi="Cambria" w:cstheme="minorHAnsi"/>
          <w:b/>
          <w:bCs/>
        </w:rPr>
        <w:t>Physical Expectations</w:t>
      </w:r>
    </w:p>
    <w:p w14:paraId="66C7FCD9" w14:textId="051E2451" w:rsidR="00236936" w:rsidRPr="00D82DB0" w:rsidRDefault="006B2976" w:rsidP="00DF3C57">
      <w:pPr>
        <w:rPr>
          <w:rFonts w:ascii="Cambria" w:hAnsi="Cambria" w:cstheme="minorHAnsi"/>
        </w:rPr>
      </w:pPr>
      <w:r w:rsidRPr="00D82DB0">
        <w:rPr>
          <w:rFonts w:ascii="Cambria" w:hAnsi="Cambria" w:cstheme="minorHAnsi"/>
        </w:rPr>
        <w:t>Program requires walking</w:t>
      </w:r>
      <w:r w:rsidR="00753CBC" w:rsidRPr="00D82DB0">
        <w:rPr>
          <w:rFonts w:ascii="Cambria" w:hAnsi="Cambria" w:cstheme="minorHAnsi"/>
        </w:rPr>
        <w:t xml:space="preserve"> 3-5 miles per day on uneven pavement in all kinds of weather</w:t>
      </w:r>
      <w:r w:rsidR="00E434CA" w:rsidRPr="00D82DB0">
        <w:rPr>
          <w:rFonts w:ascii="Cambria" w:hAnsi="Cambria" w:cstheme="minorHAnsi"/>
        </w:rPr>
        <w:t xml:space="preserve"> and</w:t>
      </w:r>
      <w:r w:rsidR="00753CBC" w:rsidRPr="00D82DB0">
        <w:rPr>
          <w:rFonts w:ascii="Cambria" w:hAnsi="Cambria" w:cstheme="minorHAnsi"/>
        </w:rPr>
        <w:t xml:space="preserve"> long periods of standing.</w:t>
      </w:r>
      <w:r w:rsidR="009E2D64" w:rsidRPr="00D82DB0">
        <w:rPr>
          <w:rFonts w:ascii="Cambria" w:hAnsi="Cambria" w:cstheme="minorHAnsi"/>
        </w:rPr>
        <w:t xml:space="preserve"> Students must be able to carry their own bags and belongings.</w:t>
      </w:r>
    </w:p>
    <w:tbl>
      <w:tblPr>
        <w:tblStyle w:val="TableGrid"/>
        <w:tblW w:w="0" w:type="auto"/>
        <w:tblLook w:val="04A0" w:firstRow="1" w:lastRow="0" w:firstColumn="1" w:lastColumn="0" w:noHBand="0" w:noVBand="1"/>
      </w:tblPr>
      <w:tblGrid>
        <w:gridCol w:w="9350"/>
      </w:tblGrid>
      <w:tr w:rsidR="007E66EF" w:rsidRPr="00D82DB0" w14:paraId="197DC0A5" w14:textId="77777777" w:rsidTr="007E66EF">
        <w:trPr>
          <w:trHeight w:val="1358"/>
        </w:trPr>
        <w:tc>
          <w:tcPr>
            <w:tcW w:w="9350" w:type="dxa"/>
          </w:tcPr>
          <w:p w14:paraId="7E4433A2" w14:textId="5B70D078" w:rsidR="007E66EF" w:rsidRPr="000138E6" w:rsidRDefault="000138E6" w:rsidP="00DF3C57">
            <w:pPr>
              <w:rPr>
                <w:rFonts w:ascii="Cambria" w:hAnsi="Cambria" w:cstheme="minorHAnsi"/>
              </w:rPr>
            </w:pPr>
            <w:r w:rsidRPr="000138E6">
              <w:rPr>
                <w:rFonts w:ascii="Cambria" w:hAnsi="Cambria" w:cs="Times New Roman"/>
              </w:rPr>
              <w:t xml:space="preserve">You will be required to walk about 4-6 miles a day, during the summer heat in Australia. You will need to be prepared to walk stairs (when elevators are not available) on a daily basis. Finally, during outdoor activities please dress appropriately, but when meeting with government officials and others, please dress professionally. </w:t>
            </w:r>
          </w:p>
        </w:tc>
      </w:tr>
    </w:tbl>
    <w:p w14:paraId="286196CF" w14:textId="7B33C947" w:rsidR="00B05EA3" w:rsidRPr="00D82DB0" w:rsidRDefault="00B05EA3" w:rsidP="00DF3C57">
      <w:pPr>
        <w:rPr>
          <w:rFonts w:ascii="Cambria" w:hAnsi="Cambria" w:cstheme="minorHAnsi"/>
          <w:b/>
          <w:bCs/>
        </w:rPr>
      </w:pPr>
    </w:p>
    <w:p w14:paraId="3DFD1ACF" w14:textId="77777777" w:rsidR="00886BAC" w:rsidRPr="00D82DB0" w:rsidRDefault="000A1A82" w:rsidP="00DF3C57">
      <w:pPr>
        <w:rPr>
          <w:rFonts w:ascii="Cambria" w:hAnsi="Cambria" w:cstheme="minorHAnsi"/>
        </w:rPr>
      </w:pPr>
      <w:r w:rsidRPr="00D82DB0">
        <w:rPr>
          <w:rFonts w:ascii="Cambria" w:hAnsi="Cambria" w:cstheme="minorHAnsi"/>
          <w:b/>
          <w:bCs/>
        </w:rPr>
        <w:t>Disability Accommodation</w:t>
      </w:r>
    </w:p>
    <w:p w14:paraId="0DBD4605" w14:textId="66BFCAF5" w:rsidR="000A1A82" w:rsidRPr="00D82DB0" w:rsidRDefault="0003090F" w:rsidP="00DF3C57">
      <w:pPr>
        <w:rPr>
          <w:rFonts w:ascii="Cambria" w:hAnsi="Cambria" w:cstheme="minorHAnsi"/>
        </w:rPr>
      </w:pPr>
      <w:r w:rsidRPr="00D82DB0">
        <w:rPr>
          <w:rFonts w:ascii="Cambria" w:hAnsi="Cambria" w:cstheme="minorHAnsi"/>
        </w:rPr>
        <w:t xml:space="preserve">CCSA is committed to </w:t>
      </w:r>
      <w:r w:rsidR="00EB2037" w:rsidRPr="00D82DB0">
        <w:rPr>
          <w:rFonts w:ascii="Cambria" w:hAnsi="Cambria" w:cstheme="minorHAnsi"/>
        </w:rPr>
        <w:t xml:space="preserve">providing access to education abroad </w:t>
      </w:r>
      <w:r w:rsidR="00800F20" w:rsidRPr="00D82DB0">
        <w:rPr>
          <w:rFonts w:ascii="Cambria" w:hAnsi="Cambria" w:cstheme="minorHAnsi"/>
        </w:rPr>
        <w:t>to the extent possible in a study abroad setting</w:t>
      </w:r>
      <w:r w:rsidR="00EB2037" w:rsidRPr="00D82DB0">
        <w:rPr>
          <w:rFonts w:ascii="Cambria" w:hAnsi="Cambria" w:cstheme="minorHAnsi"/>
        </w:rPr>
        <w:t xml:space="preserve">. </w:t>
      </w:r>
      <w:r w:rsidR="003D6F2D" w:rsidRPr="00D82DB0">
        <w:rPr>
          <w:rFonts w:ascii="Cambria" w:hAnsi="Cambria" w:cstheme="minorHAnsi"/>
        </w:rPr>
        <w:t xml:space="preserve">The earlier </w:t>
      </w:r>
      <w:r w:rsidR="00335A01" w:rsidRPr="00D82DB0">
        <w:rPr>
          <w:rFonts w:ascii="Cambria" w:hAnsi="Cambria" w:cstheme="minorHAnsi"/>
        </w:rPr>
        <w:t>CCSA and the faculty</w:t>
      </w:r>
      <w:r w:rsidR="003D6F2D" w:rsidRPr="00D82DB0">
        <w:rPr>
          <w:rFonts w:ascii="Cambria" w:hAnsi="Cambria" w:cstheme="minorHAnsi"/>
        </w:rPr>
        <w:t xml:space="preserve"> know </w:t>
      </w:r>
      <w:r w:rsidR="00865304" w:rsidRPr="00D82DB0">
        <w:rPr>
          <w:rFonts w:ascii="Cambria" w:hAnsi="Cambria" w:cstheme="minorHAnsi"/>
        </w:rPr>
        <w:t xml:space="preserve">the </w:t>
      </w:r>
      <w:r w:rsidR="003D6F2D" w:rsidRPr="00D82DB0">
        <w:rPr>
          <w:rFonts w:ascii="Cambria" w:hAnsi="Cambria" w:cstheme="minorHAnsi"/>
        </w:rPr>
        <w:t>needs, the more likely we can accommodate them</w:t>
      </w:r>
      <w:r w:rsidR="00E27174" w:rsidRPr="00D82DB0">
        <w:rPr>
          <w:rFonts w:ascii="Cambria" w:hAnsi="Cambria" w:cstheme="minorHAnsi"/>
        </w:rPr>
        <w:t>. At a minimum</w:t>
      </w:r>
      <w:r w:rsidR="008F4F49" w:rsidRPr="00D82DB0">
        <w:rPr>
          <w:rFonts w:ascii="Cambria" w:hAnsi="Cambria" w:cstheme="minorHAnsi"/>
        </w:rPr>
        <w:t>,</w:t>
      </w:r>
      <w:r w:rsidR="00E27174" w:rsidRPr="00D82DB0">
        <w:rPr>
          <w:rFonts w:ascii="Cambria" w:hAnsi="Cambria" w:cstheme="minorHAnsi"/>
        </w:rPr>
        <w:t xml:space="preserve"> </w:t>
      </w:r>
      <w:r w:rsidR="008F4F49" w:rsidRPr="00D82DB0">
        <w:rPr>
          <w:rFonts w:ascii="Cambria" w:hAnsi="Cambria" w:cstheme="minorHAnsi"/>
        </w:rPr>
        <w:t xml:space="preserve">students </w:t>
      </w:r>
      <w:r w:rsidR="004E2DC0" w:rsidRPr="00D82DB0">
        <w:rPr>
          <w:rFonts w:ascii="Cambria" w:hAnsi="Cambria" w:cstheme="minorHAnsi"/>
        </w:rPr>
        <w:t xml:space="preserve">seeking accommodations </w:t>
      </w:r>
      <w:r w:rsidR="005F0A60" w:rsidRPr="00D82DB0">
        <w:rPr>
          <w:rFonts w:ascii="Cambria" w:hAnsi="Cambria" w:cstheme="minorHAnsi"/>
        </w:rPr>
        <w:t>are to contact both the CCSA office and the facul</w:t>
      </w:r>
      <w:r w:rsidR="004E2DC0" w:rsidRPr="00D82DB0">
        <w:rPr>
          <w:rFonts w:ascii="Cambria" w:hAnsi="Cambria" w:cstheme="minorHAnsi"/>
        </w:rPr>
        <w:t>t</w:t>
      </w:r>
      <w:r w:rsidR="005F0A60" w:rsidRPr="00D82DB0">
        <w:rPr>
          <w:rFonts w:ascii="Cambria" w:hAnsi="Cambria" w:cstheme="minorHAnsi"/>
        </w:rPr>
        <w:t>y</w:t>
      </w:r>
      <w:r w:rsidR="00F26120" w:rsidRPr="00D82DB0">
        <w:rPr>
          <w:rFonts w:ascii="Cambria" w:hAnsi="Cambria" w:cstheme="minorHAnsi"/>
        </w:rPr>
        <w:t xml:space="preserve"> one</w:t>
      </w:r>
      <w:r w:rsidR="000A1A82" w:rsidRPr="00D82DB0">
        <w:rPr>
          <w:rFonts w:ascii="Cambria" w:hAnsi="Cambria" w:cstheme="minorHAnsi"/>
        </w:rPr>
        <w:t xml:space="preserve"> month in advance of the program’s beginning</w:t>
      </w:r>
      <w:r w:rsidR="00865304" w:rsidRPr="00D82DB0">
        <w:rPr>
          <w:rFonts w:ascii="Cambria" w:hAnsi="Cambria" w:cstheme="minorHAnsi"/>
        </w:rPr>
        <w:t>. Students</w:t>
      </w:r>
      <w:r w:rsidR="000A1A82" w:rsidRPr="00D82DB0">
        <w:rPr>
          <w:rFonts w:ascii="Cambria" w:hAnsi="Cambria" w:cstheme="minorHAnsi"/>
        </w:rPr>
        <w:t xml:space="preserve"> seeking such accommodation must provide CCSA with a copy of the letter on file with their own Office of Disability Services outlining what services they receive on their home campus.</w:t>
      </w:r>
    </w:p>
    <w:p w14:paraId="33FF9B87" w14:textId="77777777" w:rsidR="00B14B1E" w:rsidRPr="00D82DB0" w:rsidRDefault="00B14B1E" w:rsidP="00EE29C7">
      <w:pPr>
        <w:rPr>
          <w:rFonts w:ascii="Cambria" w:hAnsi="Cambria" w:cstheme="minorHAnsi"/>
          <w:b/>
          <w:bCs/>
        </w:rPr>
      </w:pPr>
      <w:r w:rsidRPr="00D82DB0">
        <w:rPr>
          <w:rFonts w:ascii="Cambria" w:hAnsi="Cambria" w:cstheme="minorHAnsi"/>
          <w:b/>
          <w:bCs/>
        </w:rPr>
        <w:t>Title IX Policy</w:t>
      </w:r>
    </w:p>
    <w:p w14:paraId="71953BBB" w14:textId="24B3572C" w:rsidR="00B14B1E" w:rsidRPr="00D82DB0" w:rsidRDefault="00187063" w:rsidP="00EE29C7">
      <w:pPr>
        <w:rPr>
          <w:rFonts w:ascii="Cambria" w:hAnsi="Cambria" w:cstheme="minorHAnsi"/>
        </w:rPr>
      </w:pPr>
      <w:r w:rsidRPr="00D82DB0">
        <w:rPr>
          <w:rFonts w:ascii="Cambria" w:hAnsi="Cambria" w:cstheme="minorHAnsi"/>
        </w:rPr>
        <w:t xml:space="preserve">Sexual misconduct (including sexual harassment, sexual assault, and any nonconsensual behavior of a sexual nature) and sexual discrimination violate CCSA policies. Students experiencing such behavior may obtain support from the </w:t>
      </w:r>
      <w:r w:rsidR="001B21C2" w:rsidRPr="00D82DB0">
        <w:rPr>
          <w:rFonts w:ascii="Cambria" w:hAnsi="Cambria" w:cstheme="minorHAnsi"/>
        </w:rPr>
        <w:t xml:space="preserve">Onsite </w:t>
      </w:r>
      <w:r w:rsidRPr="00D82DB0">
        <w:rPr>
          <w:rFonts w:ascii="Cambria" w:hAnsi="Cambria" w:cstheme="minorHAnsi"/>
        </w:rPr>
        <w:t>Program Director or the CCSA Executive Director. To report sexual misconduct or sex discrimination, contact either of these two officers. Disclosure to faculty instructors or CCSA officers of sexual misconduct, domestic violence, dating violence, or sex discrimination occurring on the program or involving a visitor, student or employee is not confidential under Title IX. Faculty and other CCSA employees are required to forward such reports, including names and circumstances, to the CCSA Executive Director.</w:t>
      </w:r>
    </w:p>
    <w:p w14:paraId="3D7A9BC6" w14:textId="77777777" w:rsidR="0055257B" w:rsidRPr="00D82DB0" w:rsidRDefault="0055257B" w:rsidP="0055257B">
      <w:pPr>
        <w:rPr>
          <w:rFonts w:ascii="Cambria" w:hAnsi="Cambria" w:cstheme="minorHAnsi"/>
        </w:rPr>
      </w:pPr>
      <w:bookmarkStart w:id="0" w:name="_Hlk176617282"/>
      <w:r w:rsidRPr="00D82DB0">
        <w:rPr>
          <w:rFonts w:ascii="Cambria" w:hAnsi="Cambria" w:cstheme="minorHAnsi"/>
          <w:b/>
          <w:bCs/>
        </w:rPr>
        <w:t>Statement about Final Syllabus</w:t>
      </w:r>
    </w:p>
    <w:bookmarkEnd w:id="0"/>
    <w:p w14:paraId="23B6BDEB" w14:textId="69F163A3" w:rsidR="0055257B" w:rsidRPr="00D82DB0" w:rsidRDefault="0055257B" w:rsidP="0055257B">
      <w:pPr>
        <w:rPr>
          <w:rFonts w:ascii="Cambria" w:hAnsi="Cambria" w:cstheme="minorHAnsi"/>
        </w:rPr>
      </w:pPr>
      <w:r w:rsidRPr="00D82DB0">
        <w:rPr>
          <w:rFonts w:ascii="Cambria" w:hAnsi="Cambria" w:cstheme="minorHAnsi"/>
        </w:rPr>
        <w:lastRenderedPageBreak/>
        <w:t xml:space="preserve">Please note that all CCSA syllabi are subject to change, but every effort </w:t>
      </w:r>
      <w:r w:rsidR="00E434CA" w:rsidRPr="00D82DB0">
        <w:rPr>
          <w:rFonts w:ascii="Cambria" w:hAnsi="Cambria" w:cstheme="minorHAnsi"/>
        </w:rPr>
        <w:t xml:space="preserve">will be made </w:t>
      </w:r>
      <w:r w:rsidRPr="00D82DB0">
        <w:rPr>
          <w:rFonts w:ascii="Cambria" w:hAnsi="Cambria" w:cstheme="minorHAnsi"/>
        </w:rPr>
        <w:t>to ensure participants receive notice of such changes in a timely manner.</w:t>
      </w:r>
    </w:p>
    <w:p w14:paraId="2D11FA89" w14:textId="77777777" w:rsidR="000A1A82" w:rsidRPr="00D82DB0" w:rsidRDefault="000A1A82" w:rsidP="00DF3C57">
      <w:pPr>
        <w:rPr>
          <w:rFonts w:ascii="Cambria" w:hAnsi="Cambria" w:cstheme="minorHAnsi"/>
        </w:rPr>
      </w:pPr>
    </w:p>
    <w:sectPr w:rsidR="000A1A82" w:rsidRPr="00D82D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6306" w14:textId="77777777" w:rsidR="00D3777A" w:rsidRDefault="00D3777A" w:rsidP="000A1A82">
      <w:pPr>
        <w:spacing w:after="0" w:line="240" w:lineRule="auto"/>
      </w:pPr>
      <w:r>
        <w:separator/>
      </w:r>
    </w:p>
  </w:endnote>
  <w:endnote w:type="continuationSeparator" w:id="0">
    <w:p w14:paraId="22570E8F" w14:textId="77777777" w:rsidR="00D3777A" w:rsidRDefault="00D3777A" w:rsidP="000A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BF2F" w14:textId="77777777" w:rsidR="00D3777A" w:rsidRDefault="00D3777A" w:rsidP="000A1A82">
      <w:pPr>
        <w:spacing w:after="0" w:line="240" w:lineRule="auto"/>
      </w:pPr>
      <w:r>
        <w:separator/>
      </w:r>
    </w:p>
  </w:footnote>
  <w:footnote w:type="continuationSeparator" w:id="0">
    <w:p w14:paraId="32610F29" w14:textId="77777777" w:rsidR="00D3777A" w:rsidRDefault="00D3777A" w:rsidP="000A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139B" w14:textId="20ED1E99" w:rsidR="000A1A82" w:rsidRPr="00443AA9" w:rsidRDefault="000A1A82" w:rsidP="00443AA9">
    <w:pPr>
      <w:pBdr>
        <w:top w:val="nil"/>
        <w:left w:val="nil"/>
        <w:bottom w:val="nil"/>
        <w:right w:val="nil"/>
        <w:between w:val="nil"/>
      </w:pBdr>
      <w:spacing w:after="0"/>
      <w:rPr>
        <w:rFonts w:ascii="Cambria" w:eastAsia="Cambria" w:hAnsi="Cambria" w:cs="Cambria"/>
        <w:b/>
        <w:sz w:val="40"/>
        <w:szCs w:val="40"/>
      </w:rPr>
    </w:pPr>
    <w:r>
      <w:rPr>
        <w:noProof/>
      </w:rPr>
      <w:drawing>
        <wp:anchor distT="0" distB="0" distL="114300" distR="114300" simplePos="0" relativeHeight="251658240" behindDoc="0" locked="0" layoutInCell="1" allowOverlap="1" wp14:anchorId="1F4CEB0E" wp14:editId="7181E0A3">
          <wp:simplePos x="0" y="0"/>
          <wp:positionH relativeFrom="column">
            <wp:posOffset>0</wp:posOffset>
          </wp:positionH>
          <wp:positionV relativeFrom="paragraph">
            <wp:posOffset>0</wp:posOffset>
          </wp:positionV>
          <wp:extent cx="844550" cy="339177"/>
          <wp:effectExtent l="0" t="0" r="0" b="3810"/>
          <wp:wrapSquare wrapText="bothSides"/>
          <wp:docPr id="145157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1325" b="28514"/>
                  <a:stretch/>
                </pic:blipFill>
                <pic:spPr bwMode="auto">
                  <a:xfrm>
                    <a:off x="0" y="0"/>
                    <a:ext cx="844550" cy="339177"/>
                  </a:xfrm>
                  <a:prstGeom prst="rect">
                    <a:avLst/>
                  </a:prstGeom>
                  <a:noFill/>
                  <a:ln>
                    <a:noFill/>
                  </a:ln>
                  <a:extLst>
                    <a:ext uri="{53640926-AAD7-44D8-BBD7-CCE9431645EC}">
                      <a14:shadowObscured xmlns:a14="http://schemas.microsoft.com/office/drawing/2010/main"/>
                    </a:ext>
                  </a:extLst>
                </pic:spPr>
              </pic:pic>
            </a:graphicData>
          </a:graphic>
        </wp:anchor>
      </w:drawing>
    </w:r>
    <w:r w:rsidR="0027533B">
      <w:rPr>
        <w:rFonts w:ascii="Cambria" w:eastAsia="Cambria" w:hAnsi="Cambria" w:cs="Cambria"/>
        <w:b/>
        <w:sz w:val="40"/>
        <w:szCs w:val="40"/>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FB3"/>
    <w:multiLevelType w:val="hybridMultilevel"/>
    <w:tmpl w:val="2432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96A"/>
    <w:multiLevelType w:val="hybridMultilevel"/>
    <w:tmpl w:val="C5F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726DF"/>
    <w:multiLevelType w:val="hybridMultilevel"/>
    <w:tmpl w:val="CB146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A6092"/>
    <w:multiLevelType w:val="hybridMultilevel"/>
    <w:tmpl w:val="110E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2"/>
    <w:rsid w:val="000115A1"/>
    <w:rsid w:val="000138E6"/>
    <w:rsid w:val="0003090F"/>
    <w:rsid w:val="00033919"/>
    <w:rsid w:val="00037464"/>
    <w:rsid w:val="00041CB9"/>
    <w:rsid w:val="00050BC5"/>
    <w:rsid w:val="0006398A"/>
    <w:rsid w:val="00076303"/>
    <w:rsid w:val="000A1889"/>
    <w:rsid w:val="000A1A82"/>
    <w:rsid w:val="000F4687"/>
    <w:rsid w:val="000F5590"/>
    <w:rsid w:val="0010277D"/>
    <w:rsid w:val="001052D6"/>
    <w:rsid w:val="0013627D"/>
    <w:rsid w:val="001615DA"/>
    <w:rsid w:val="00182C7F"/>
    <w:rsid w:val="001830A6"/>
    <w:rsid w:val="00187063"/>
    <w:rsid w:val="001B21C2"/>
    <w:rsid w:val="001B2681"/>
    <w:rsid w:val="001C0C37"/>
    <w:rsid w:val="001C2EE2"/>
    <w:rsid w:val="001D6E3D"/>
    <w:rsid w:val="001E6C51"/>
    <w:rsid w:val="00205697"/>
    <w:rsid w:val="002075EC"/>
    <w:rsid w:val="00212D61"/>
    <w:rsid w:val="00214EE0"/>
    <w:rsid w:val="00227910"/>
    <w:rsid w:val="00236936"/>
    <w:rsid w:val="00253622"/>
    <w:rsid w:val="0025703F"/>
    <w:rsid w:val="002614D9"/>
    <w:rsid w:val="0027533B"/>
    <w:rsid w:val="002953A7"/>
    <w:rsid w:val="002C6F89"/>
    <w:rsid w:val="002E0477"/>
    <w:rsid w:val="00301A8F"/>
    <w:rsid w:val="00302BD2"/>
    <w:rsid w:val="003205EC"/>
    <w:rsid w:val="00335A01"/>
    <w:rsid w:val="003443B9"/>
    <w:rsid w:val="003A02C0"/>
    <w:rsid w:val="003A2499"/>
    <w:rsid w:val="003C049C"/>
    <w:rsid w:val="003C688F"/>
    <w:rsid w:val="003D6F2D"/>
    <w:rsid w:val="00407858"/>
    <w:rsid w:val="00442AA0"/>
    <w:rsid w:val="00443AA9"/>
    <w:rsid w:val="00445BED"/>
    <w:rsid w:val="00450006"/>
    <w:rsid w:val="0045309C"/>
    <w:rsid w:val="00461F06"/>
    <w:rsid w:val="00472BF9"/>
    <w:rsid w:val="0047344E"/>
    <w:rsid w:val="0047585B"/>
    <w:rsid w:val="00491857"/>
    <w:rsid w:val="004D0E7A"/>
    <w:rsid w:val="004E2DC0"/>
    <w:rsid w:val="00522339"/>
    <w:rsid w:val="005226CA"/>
    <w:rsid w:val="00524822"/>
    <w:rsid w:val="00534F31"/>
    <w:rsid w:val="00540864"/>
    <w:rsid w:val="0054115B"/>
    <w:rsid w:val="0055257B"/>
    <w:rsid w:val="005555C5"/>
    <w:rsid w:val="005660E7"/>
    <w:rsid w:val="005C2E68"/>
    <w:rsid w:val="005C36F8"/>
    <w:rsid w:val="005D4E4D"/>
    <w:rsid w:val="005D7667"/>
    <w:rsid w:val="005F0A09"/>
    <w:rsid w:val="005F0A60"/>
    <w:rsid w:val="00626B23"/>
    <w:rsid w:val="00634302"/>
    <w:rsid w:val="0064486E"/>
    <w:rsid w:val="00646183"/>
    <w:rsid w:val="00683517"/>
    <w:rsid w:val="006928AF"/>
    <w:rsid w:val="00694D38"/>
    <w:rsid w:val="006B2976"/>
    <w:rsid w:val="006B3762"/>
    <w:rsid w:val="006C72A1"/>
    <w:rsid w:val="006D28D4"/>
    <w:rsid w:val="006D6A8D"/>
    <w:rsid w:val="006F12D6"/>
    <w:rsid w:val="00700C8E"/>
    <w:rsid w:val="0071374F"/>
    <w:rsid w:val="007264E2"/>
    <w:rsid w:val="0073595D"/>
    <w:rsid w:val="00753CBC"/>
    <w:rsid w:val="007572CF"/>
    <w:rsid w:val="007745F6"/>
    <w:rsid w:val="00796885"/>
    <w:rsid w:val="007A48F9"/>
    <w:rsid w:val="007B22A3"/>
    <w:rsid w:val="007B3AD5"/>
    <w:rsid w:val="007C3D0A"/>
    <w:rsid w:val="007D05F6"/>
    <w:rsid w:val="007E66EF"/>
    <w:rsid w:val="00800F20"/>
    <w:rsid w:val="00806FE5"/>
    <w:rsid w:val="008109C7"/>
    <w:rsid w:val="00852844"/>
    <w:rsid w:val="00865304"/>
    <w:rsid w:val="00880D84"/>
    <w:rsid w:val="008821D0"/>
    <w:rsid w:val="00886BAC"/>
    <w:rsid w:val="008A1514"/>
    <w:rsid w:val="008A3833"/>
    <w:rsid w:val="008B1B37"/>
    <w:rsid w:val="008D170A"/>
    <w:rsid w:val="008F4F49"/>
    <w:rsid w:val="008F7781"/>
    <w:rsid w:val="008F7F57"/>
    <w:rsid w:val="0090192F"/>
    <w:rsid w:val="00910BC5"/>
    <w:rsid w:val="00912006"/>
    <w:rsid w:val="00912EDC"/>
    <w:rsid w:val="00942350"/>
    <w:rsid w:val="00955DBA"/>
    <w:rsid w:val="00990467"/>
    <w:rsid w:val="009917F4"/>
    <w:rsid w:val="009E2D64"/>
    <w:rsid w:val="009F3B84"/>
    <w:rsid w:val="00A125FD"/>
    <w:rsid w:val="00A132C0"/>
    <w:rsid w:val="00A20EAF"/>
    <w:rsid w:val="00A46A29"/>
    <w:rsid w:val="00A704DF"/>
    <w:rsid w:val="00A7130E"/>
    <w:rsid w:val="00A713E7"/>
    <w:rsid w:val="00A90EA7"/>
    <w:rsid w:val="00A96E71"/>
    <w:rsid w:val="00AA59A2"/>
    <w:rsid w:val="00AB115D"/>
    <w:rsid w:val="00AD3182"/>
    <w:rsid w:val="00AE1BE1"/>
    <w:rsid w:val="00AF77AB"/>
    <w:rsid w:val="00B05EA3"/>
    <w:rsid w:val="00B14B1E"/>
    <w:rsid w:val="00B24D87"/>
    <w:rsid w:val="00B3379B"/>
    <w:rsid w:val="00B33DCC"/>
    <w:rsid w:val="00B40B00"/>
    <w:rsid w:val="00B64447"/>
    <w:rsid w:val="00B803CC"/>
    <w:rsid w:val="00B97A33"/>
    <w:rsid w:val="00BB72BB"/>
    <w:rsid w:val="00BC2015"/>
    <w:rsid w:val="00BC3AA6"/>
    <w:rsid w:val="00BD7B25"/>
    <w:rsid w:val="00BE199D"/>
    <w:rsid w:val="00BF1229"/>
    <w:rsid w:val="00C14B33"/>
    <w:rsid w:val="00C358C0"/>
    <w:rsid w:val="00C366D1"/>
    <w:rsid w:val="00C45F51"/>
    <w:rsid w:val="00C524BF"/>
    <w:rsid w:val="00C7457F"/>
    <w:rsid w:val="00CA472F"/>
    <w:rsid w:val="00CC0916"/>
    <w:rsid w:val="00CC721F"/>
    <w:rsid w:val="00CD2C17"/>
    <w:rsid w:val="00D24A19"/>
    <w:rsid w:val="00D27D29"/>
    <w:rsid w:val="00D3777A"/>
    <w:rsid w:val="00D509DB"/>
    <w:rsid w:val="00D545F9"/>
    <w:rsid w:val="00D65634"/>
    <w:rsid w:val="00D82DB0"/>
    <w:rsid w:val="00D844F0"/>
    <w:rsid w:val="00DC104D"/>
    <w:rsid w:val="00DC13D3"/>
    <w:rsid w:val="00DD4575"/>
    <w:rsid w:val="00DE350E"/>
    <w:rsid w:val="00DF273A"/>
    <w:rsid w:val="00DF3C57"/>
    <w:rsid w:val="00DF452B"/>
    <w:rsid w:val="00E27174"/>
    <w:rsid w:val="00E2779B"/>
    <w:rsid w:val="00E434CA"/>
    <w:rsid w:val="00E709BF"/>
    <w:rsid w:val="00E72127"/>
    <w:rsid w:val="00EA22F2"/>
    <w:rsid w:val="00EA28D7"/>
    <w:rsid w:val="00EA2C8A"/>
    <w:rsid w:val="00EA3F03"/>
    <w:rsid w:val="00EA6E19"/>
    <w:rsid w:val="00EB2037"/>
    <w:rsid w:val="00EE29C7"/>
    <w:rsid w:val="00F00196"/>
    <w:rsid w:val="00F26120"/>
    <w:rsid w:val="00F43990"/>
    <w:rsid w:val="00F4631B"/>
    <w:rsid w:val="00F72EE2"/>
    <w:rsid w:val="00F7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2663"/>
  <w15:chartTrackingRefBased/>
  <w15:docId w15:val="{7B5D226B-12D7-4F2F-A6D1-F76626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82"/>
  </w:style>
  <w:style w:type="paragraph" w:styleId="Footer">
    <w:name w:val="footer"/>
    <w:basedOn w:val="Normal"/>
    <w:link w:val="FooterChar"/>
    <w:uiPriority w:val="99"/>
    <w:unhideWhenUsed/>
    <w:rsid w:val="000A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82"/>
  </w:style>
  <w:style w:type="character" w:styleId="PlaceholderText">
    <w:name w:val="Placeholder Text"/>
    <w:basedOn w:val="DefaultParagraphFont"/>
    <w:uiPriority w:val="99"/>
    <w:semiHidden/>
    <w:rsid w:val="00214EE0"/>
    <w:rPr>
      <w:color w:val="666666"/>
    </w:rPr>
  </w:style>
  <w:style w:type="character" w:styleId="CommentReference">
    <w:name w:val="annotation reference"/>
    <w:basedOn w:val="DefaultParagraphFont"/>
    <w:uiPriority w:val="99"/>
    <w:semiHidden/>
    <w:unhideWhenUsed/>
    <w:rsid w:val="00955DBA"/>
    <w:rPr>
      <w:sz w:val="16"/>
      <w:szCs w:val="16"/>
    </w:rPr>
  </w:style>
  <w:style w:type="paragraph" w:styleId="CommentText">
    <w:name w:val="annotation text"/>
    <w:basedOn w:val="Normal"/>
    <w:link w:val="CommentTextChar"/>
    <w:uiPriority w:val="99"/>
    <w:semiHidden/>
    <w:unhideWhenUsed/>
    <w:rsid w:val="00955DBA"/>
    <w:pPr>
      <w:spacing w:line="240" w:lineRule="auto"/>
    </w:pPr>
    <w:rPr>
      <w:sz w:val="20"/>
      <w:szCs w:val="20"/>
    </w:rPr>
  </w:style>
  <w:style w:type="character" w:customStyle="1" w:styleId="CommentTextChar">
    <w:name w:val="Comment Text Char"/>
    <w:basedOn w:val="DefaultParagraphFont"/>
    <w:link w:val="CommentText"/>
    <w:uiPriority w:val="99"/>
    <w:semiHidden/>
    <w:rsid w:val="00955DBA"/>
    <w:rPr>
      <w:sz w:val="20"/>
      <w:szCs w:val="20"/>
    </w:rPr>
  </w:style>
  <w:style w:type="paragraph" w:styleId="CommentSubject">
    <w:name w:val="annotation subject"/>
    <w:basedOn w:val="CommentText"/>
    <w:next w:val="CommentText"/>
    <w:link w:val="CommentSubjectChar"/>
    <w:uiPriority w:val="99"/>
    <w:semiHidden/>
    <w:unhideWhenUsed/>
    <w:rsid w:val="00955DBA"/>
    <w:rPr>
      <w:b/>
      <w:bCs/>
    </w:rPr>
  </w:style>
  <w:style w:type="character" w:customStyle="1" w:styleId="CommentSubjectChar">
    <w:name w:val="Comment Subject Char"/>
    <w:basedOn w:val="CommentTextChar"/>
    <w:link w:val="CommentSubject"/>
    <w:uiPriority w:val="99"/>
    <w:semiHidden/>
    <w:rsid w:val="00955DBA"/>
    <w:rPr>
      <w:b/>
      <w:bCs/>
      <w:sz w:val="20"/>
      <w:szCs w:val="20"/>
    </w:rPr>
  </w:style>
  <w:style w:type="paragraph" w:styleId="ListParagraph">
    <w:name w:val="List Paragraph"/>
    <w:basedOn w:val="Normal"/>
    <w:uiPriority w:val="34"/>
    <w:qFormat/>
    <w:rsid w:val="00076303"/>
    <w:pPr>
      <w:ind w:left="720"/>
      <w:contextualSpacing/>
    </w:pPr>
  </w:style>
  <w:style w:type="table" w:styleId="TableGrid">
    <w:name w:val="Table Grid"/>
    <w:basedOn w:val="TableNormal"/>
    <w:uiPriority w:val="39"/>
    <w:rsid w:val="007E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E7A"/>
    <w:rPr>
      <w:color w:val="0563C1" w:themeColor="hyperlink"/>
      <w:u w:val="single"/>
    </w:rPr>
  </w:style>
  <w:style w:type="character" w:styleId="UnresolvedMention">
    <w:name w:val="Unresolved Mention"/>
    <w:basedOn w:val="DefaultParagraphFont"/>
    <w:uiPriority w:val="99"/>
    <w:semiHidden/>
    <w:unhideWhenUsed/>
    <w:rsid w:val="004D0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sond32@n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Ryser</dc:creator>
  <cp:keywords/>
  <dc:description/>
  <cp:lastModifiedBy>Darrin Wilson</cp:lastModifiedBy>
  <cp:revision>5</cp:revision>
  <dcterms:created xsi:type="dcterms:W3CDTF">2025-04-08T18:01:00Z</dcterms:created>
  <dcterms:modified xsi:type="dcterms:W3CDTF">2025-07-09T18:00:00Z</dcterms:modified>
</cp:coreProperties>
</file>