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30F5" w14:textId="3B87C17A" w:rsidR="000A1A82" w:rsidRPr="00D82DB0" w:rsidRDefault="000A1A82" w:rsidP="00DF3C57">
      <w:pPr>
        <w:rPr>
          <w:rFonts w:ascii="Cambria" w:hAnsi="Cambria" w:cstheme="minorHAnsi"/>
        </w:rPr>
      </w:pPr>
    </w:p>
    <w:p w14:paraId="1211AEA3" w14:textId="2706FFF4" w:rsidR="00A132C0" w:rsidRPr="00D82DB0" w:rsidRDefault="00BE199D" w:rsidP="00DF3C57">
      <w:pPr>
        <w:rPr>
          <w:rFonts w:ascii="Cambria" w:hAnsi="Cambria" w:cstheme="minorHAnsi"/>
          <w:sz w:val="28"/>
          <w:szCs w:val="28"/>
        </w:rPr>
      </w:pPr>
      <w:r w:rsidRPr="00D82DB0">
        <w:rPr>
          <w:rFonts w:ascii="Cambria" w:hAnsi="Cambria" w:cstheme="minorHAnsi"/>
          <w:b/>
          <w:bCs/>
          <w:sz w:val="28"/>
          <w:szCs w:val="28"/>
        </w:rPr>
        <w:t>Course Title</w:t>
      </w:r>
      <w:r w:rsidR="00A132C0" w:rsidRPr="00D82DB0">
        <w:rPr>
          <w:rFonts w:ascii="Cambria" w:hAnsi="Cambria" w:cstheme="minorHAnsi"/>
          <w:b/>
          <w:bCs/>
          <w:sz w:val="28"/>
          <w:szCs w:val="28"/>
        </w:rPr>
        <w:t>:</w:t>
      </w:r>
      <w:r w:rsidR="007E66EF" w:rsidRPr="00D82DB0">
        <w:rPr>
          <w:rFonts w:ascii="Cambria" w:hAnsi="Cambria" w:cstheme="minorHAnsi"/>
          <w:sz w:val="28"/>
          <w:szCs w:val="28"/>
        </w:rPr>
        <w:t xml:space="preserve"> </w:t>
      </w:r>
      <w:r w:rsidR="00CF643C">
        <w:rPr>
          <w:rFonts w:ascii="Cambria" w:hAnsi="Cambria" w:cstheme="minorHAnsi"/>
          <w:sz w:val="28"/>
          <w:szCs w:val="28"/>
        </w:rPr>
        <w:t>Australia: Leading the Way in Disability Access</w:t>
      </w:r>
    </w:p>
    <w:p w14:paraId="7543904B" w14:textId="33D7D2D5" w:rsidR="000A1A82" w:rsidRPr="00D82DB0" w:rsidRDefault="00BE199D" w:rsidP="00DF3C57">
      <w:pPr>
        <w:rPr>
          <w:rFonts w:ascii="Cambria" w:hAnsi="Cambria" w:cstheme="minorHAnsi"/>
        </w:rPr>
      </w:pPr>
      <w:r w:rsidRPr="00D82DB0">
        <w:rPr>
          <w:rFonts w:ascii="Cambria" w:hAnsi="Cambria" w:cstheme="minorHAnsi"/>
          <w:b/>
          <w:bCs/>
        </w:rPr>
        <w:t>Program and Date</w:t>
      </w:r>
      <w:r w:rsidR="000A1A82" w:rsidRPr="00D82DB0">
        <w:rPr>
          <w:rFonts w:ascii="Cambria" w:hAnsi="Cambria" w:cstheme="minorHAnsi"/>
        </w:rPr>
        <w:t>:</w:t>
      </w:r>
      <w:r w:rsidR="00A90EA7" w:rsidRPr="00D82DB0">
        <w:rPr>
          <w:rFonts w:ascii="Cambria" w:hAnsi="Cambria" w:cstheme="minorHAnsi"/>
        </w:rPr>
        <w:t xml:space="preserve"> </w:t>
      </w:r>
      <w:r w:rsidR="00CF643C">
        <w:rPr>
          <w:rFonts w:ascii="Cambria" w:hAnsi="Cambria" w:cstheme="minorHAnsi"/>
        </w:rPr>
        <w:t>Australia Winter; December 26, 2025- January 9, 2026</w:t>
      </w:r>
    </w:p>
    <w:p w14:paraId="775D99E4" w14:textId="2B3A2BA1" w:rsidR="00BC2015" w:rsidRPr="00D82DB0" w:rsidRDefault="00912EDC" w:rsidP="008821D0">
      <w:pPr>
        <w:rPr>
          <w:rFonts w:ascii="Cambria" w:hAnsi="Cambria" w:cstheme="minorHAnsi"/>
        </w:rPr>
      </w:pPr>
      <w:r w:rsidRPr="00D82DB0">
        <w:rPr>
          <w:rFonts w:ascii="Cambria" w:hAnsi="Cambria" w:cstheme="minorHAnsi"/>
          <w:b/>
          <w:bCs/>
        </w:rPr>
        <w:t>Academic Department:</w:t>
      </w:r>
      <w:r w:rsidR="00CD2C17" w:rsidRPr="00D82DB0">
        <w:rPr>
          <w:rFonts w:ascii="Cambria" w:hAnsi="Cambria" w:cstheme="minorHAnsi"/>
        </w:rPr>
        <w:t xml:space="preserve"> </w:t>
      </w:r>
      <w:r w:rsidR="00CF643C">
        <w:rPr>
          <w:rFonts w:ascii="Cambria" w:hAnsi="Cambria" w:cstheme="minorHAnsi"/>
        </w:rPr>
        <w:t>Special Education</w:t>
      </w:r>
    </w:p>
    <w:p w14:paraId="3C038B20" w14:textId="300F0B7F" w:rsidR="000A1A82" w:rsidRPr="00D82DB0" w:rsidRDefault="000A1A82" w:rsidP="00DF3C57">
      <w:pPr>
        <w:rPr>
          <w:rFonts w:ascii="Cambria" w:hAnsi="Cambria" w:cstheme="minorHAnsi"/>
        </w:rPr>
      </w:pPr>
      <w:r w:rsidRPr="00D82DB0">
        <w:rPr>
          <w:rFonts w:ascii="Cambria" w:hAnsi="Cambria" w:cstheme="minorHAnsi"/>
          <w:b/>
          <w:bCs/>
        </w:rPr>
        <w:t>Instructor Name</w:t>
      </w:r>
      <w:r w:rsidR="005F0A09" w:rsidRPr="00D82DB0">
        <w:rPr>
          <w:rFonts w:ascii="Cambria" w:hAnsi="Cambria" w:cstheme="minorHAnsi"/>
          <w:b/>
          <w:bCs/>
        </w:rPr>
        <w:t>:</w:t>
      </w:r>
      <w:r w:rsidR="00D82DB0" w:rsidRPr="00D82DB0">
        <w:rPr>
          <w:rFonts w:ascii="Cambria" w:hAnsi="Cambria" w:cstheme="minorHAnsi"/>
        </w:rPr>
        <w:t xml:space="preserve"> </w:t>
      </w:r>
      <w:r w:rsidR="00CF643C">
        <w:rPr>
          <w:rFonts w:ascii="Cambria" w:hAnsi="Cambria" w:cstheme="minorHAnsi"/>
        </w:rPr>
        <w:t>Dr. Mary Jo Krile</w:t>
      </w:r>
    </w:p>
    <w:p w14:paraId="54CF5C1B" w14:textId="1D5CD7F4" w:rsidR="00912EDC" w:rsidRPr="00D82DB0" w:rsidRDefault="005F0A09" w:rsidP="007E66EF">
      <w:pPr>
        <w:rPr>
          <w:rFonts w:ascii="Cambria" w:hAnsi="Cambria" w:cstheme="minorHAnsi"/>
        </w:rPr>
      </w:pPr>
      <w:r w:rsidRPr="00D82DB0">
        <w:rPr>
          <w:rFonts w:ascii="Cambria" w:hAnsi="Cambria" w:cstheme="minorHAnsi"/>
          <w:b/>
          <w:bCs/>
        </w:rPr>
        <w:t>Instructor Email and Phone</w:t>
      </w:r>
      <w:r w:rsidR="003A02C0" w:rsidRPr="00D82DB0">
        <w:rPr>
          <w:rFonts w:ascii="Cambria" w:hAnsi="Cambria" w:cstheme="minorHAnsi"/>
          <w:b/>
          <w:bCs/>
        </w:rPr>
        <w:t>:</w:t>
      </w:r>
      <w:r w:rsidR="00D82DB0" w:rsidRPr="00D82DB0">
        <w:rPr>
          <w:rFonts w:ascii="Cambria" w:hAnsi="Cambria" w:cstheme="minorHAnsi"/>
        </w:rPr>
        <w:t xml:space="preserve"> </w:t>
      </w:r>
      <w:hyperlink r:id="rId7" w:history="1">
        <w:r w:rsidR="00CF643C" w:rsidRPr="00E312B5">
          <w:rPr>
            <w:rStyle w:val="Hyperlink"/>
            <w:rFonts w:ascii="Cambria" w:hAnsi="Cambria" w:cstheme="minorHAnsi"/>
          </w:rPr>
          <w:t>maryjo.krile@eku.edu</w:t>
        </w:r>
      </w:hyperlink>
      <w:r w:rsidR="00CF643C">
        <w:rPr>
          <w:rFonts w:ascii="Cambria" w:hAnsi="Cambria" w:cstheme="minorHAnsi"/>
        </w:rPr>
        <w:t>; 859-622-6057</w:t>
      </w:r>
    </w:p>
    <w:p w14:paraId="241AC5C9" w14:textId="279A453F" w:rsidR="00E72127" w:rsidRPr="00D82DB0" w:rsidRDefault="00E72127" w:rsidP="007E66EF">
      <w:pPr>
        <w:rPr>
          <w:rFonts w:ascii="Cambria" w:hAnsi="Cambria" w:cstheme="minorHAnsi"/>
          <w:b/>
          <w:bCs/>
        </w:rPr>
      </w:pPr>
    </w:p>
    <w:p w14:paraId="31E83053" w14:textId="776FE37D" w:rsidR="007E66EF" w:rsidRPr="00D82DB0" w:rsidRDefault="00E72127" w:rsidP="007E66EF">
      <w:pPr>
        <w:rPr>
          <w:rFonts w:ascii="Cambria" w:hAnsi="Cambria" w:cstheme="minorHAnsi"/>
          <w:b/>
          <w:bCs/>
        </w:rPr>
      </w:pPr>
      <w:r w:rsidRPr="00D82DB0">
        <w:rPr>
          <w:rFonts w:ascii="Cambria" w:hAnsi="Cambria" w:cstheme="minorHAnsi"/>
          <w:b/>
          <w:bCs/>
        </w:rPr>
        <w:t>Get to Know Your Professor</w:t>
      </w:r>
    </w:p>
    <w:tbl>
      <w:tblPr>
        <w:tblStyle w:val="TableGrid"/>
        <w:tblW w:w="0" w:type="auto"/>
        <w:tblLook w:val="04A0" w:firstRow="1" w:lastRow="0" w:firstColumn="1" w:lastColumn="0" w:noHBand="0" w:noVBand="1"/>
      </w:tblPr>
      <w:tblGrid>
        <w:gridCol w:w="9350"/>
      </w:tblGrid>
      <w:tr w:rsidR="007E66EF" w:rsidRPr="00D82DB0" w14:paraId="1F537516" w14:textId="77777777" w:rsidTr="007E66EF">
        <w:trPr>
          <w:trHeight w:val="1961"/>
        </w:trPr>
        <w:tc>
          <w:tcPr>
            <w:tcW w:w="9350" w:type="dxa"/>
          </w:tcPr>
          <w:p w14:paraId="61429435" w14:textId="5D9C7EBE" w:rsidR="000C766F" w:rsidRDefault="000C766F" w:rsidP="000C766F">
            <w:pPr>
              <w:pBdr>
                <w:top w:val="nil"/>
                <w:left w:val="nil"/>
                <w:bottom w:val="nil"/>
                <w:right w:val="nil"/>
                <w:between w:val="nil"/>
              </w:pBdr>
              <w:rPr>
                <w:rFonts w:ascii="Cambria" w:eastAsia="Cambria" w:hAnsi="Cambria" w:cs="Cambria"/>
                <w:bCs/>
              </w:rPr>
            </w:pPr>
            <w:r>
              <w:rPr>
                <w:rFonts w:ascii="Cambria" w:eastAsia="Cambria" w:hAnsi="Cambria" w:cs="Cambria"/>
                <w:bCs/>
              </w:rPr>
              <w:t>Dr. Mary Jo Krile is an Associate Professor of Special Education at Eastern Kentucky University. She has a bachelor’s, master’s, and doctorate in special education. Dr. Krile has over ten years of experience in teaching and working with individuals with disabilities in the public and postsecondary settings. She has taught an Introduction to Special Education course each semester for five years. She also teaches special education courses at the undergraduate and graduate levels in learning and behavior disorders and moderate to severe disabilities. Dr. Krile is active in membership, and leadership, in the professional special education organization of Council for Exceptional Children. She attends their international and state conferences each year.</w:t>
            </w:r>
            <w:r w:rsidR="00B745AD">
              <w:rPr>
                <w:rFonts w:ascii="Cambria" w:eastAsia="Cambria" w:hAnsi="Cambria" w:cs="Cambria"/>
                <w:bCs/>
              </w:rPr>
              <w:t xml:space="preserve"> As a young adult, Dr. Krile traveled to seven countries. This experience opened her eyes to the value of examining global perspectives and learning from different cultures. Dr. Krile is excited to work, and learn, with you as you examine </w:t>
            </w:r>
            <w:r w:rsidR="006B2918">
              <w:rPr>
                <w:rFonts w:ascii="Cambria" w:eastAsia="Cambria" w:hAnsi="Cambria" w:cs="Cambria"/>
                <w:bCs/>
              </w:rPr>
              <w:t xml:space="preserve">how Australia leads the way in disability access! </w:t>
            </w:r>
          </w:p>
          <w:p w14:paraId="5CDCD7E6" w14:textId="77777777" w:rsidR="007E66EF" w:rsidRPr="00D82DB0" w:rsidRDefault="007E66EF" w:rsidP="00D82DB0">
            <w:pPr>
              <w:rPr>
                <w:rFonts w:ascii="Cambria" w:hAnsi="Cambria" w:cstheme="minorHAnsi"/>
              </w:rPr>
            </w:pPr>
          </w:p>
        </w:tc>
      </w:tr>
    </w:tbl>
    <w:p w14:paraId="66A1A807" w14:textId="77777777" w:rsidR="007E66EF" w:rsidRPr="00D82DB0" w:rsidRDefault="007E66EF" w:rsidP="007E66EF">
      <w:pPr>
        <w:pBdr>
          <w:bottom w:val="single" w:sz="12" w:space="1" w:color="auto"/>
        </w:pBdr>
        <w:rPr>
          <w:rFonts w:ascii="Cambria" w:hAnsi="Cambria" w:cstheme="minorHAnsi"/>
          <w:b/>
          <w:bCs/>
        </w:rPr>
      </w:pPr>
    </w:p>
    <w:p w14:paraId="28FC3921" w14:textId="77777777" w:rsidR="007E66EF" w:rsidRPr="00D82DB0" w:rsidRDefault="007E66EF" w:rsidP="00BB72BB">
      <w:pPr>
        <w:spacing w:after="0"/>
        <w:rPr>
          <w:rFonts w:ascii="Cambria" w:hAnsi="Cambria" w:cstheme="minorHAnsi"/>
          <w:b/>
          <w:bCs/>
        </w:rPr>
      </w:pPr>
    </w:p>
    <w:p w14:paraId="0152B08F" w14:textId="7498E7A9" w:rsidR="000A1A82" w:rsidRPr="00D82DB0" w:rsidRDefault="000A1A82" w:rsidP="007E66EF">
      <w:pPr>
        <w:rPr>
          <w:rFonts w:ascii="Cambria" w:hAnsi="Cambria" w:cstheme="minorHAnsi"/>
          <w:b/>
          <w:bCs/>
        </w:rPr>
      </w:pPr>
      <w:r w:rsidRPr="00D82DB0">
        <w:rPr>
          <w:rFonts w:ascii="Cambria" w:hAnsi="Cambria" w:cstheme="minorHAnsi"/>
          <w:b/>
          <w:bCs/>
        </w:rPr>
        <w:t>Course Description</w:t>
      </w:r>
    </w:p>
    <w:tbl>
      <w:tblPr>
        <w:tblStyle w:val="TableGrid"/>
        <w:tblW w:w="0" w:type="auto"/>
        <w:tblLook w:val="04A0" w:firstRow="1" w:lastRow="0" w:firstColumn="1" w:lastColumn="0" w:noHBand="0" w:noVBand="1"/>
      </w:tblPr>
      <w:tblGrid>
        <w:gridCol w:w="9350"/>
      </w:tblGrid>
      <w:tr w:rsidR="007E66EF" w:rsidRPr="00D82DB0" w14:paraId="0D74BD4A" w14:textId="77777777" w:rsidTr="007E66EF">
        <w:trPr>
          <w:trHeight w:val="3266"/>
        </w:trPr>
        <w:tc>
          <w:tcPr>
            <w:tcW w:w="9350" w:type="dxa"/>
          </w:tcPr>
          <w:p w14:paraId="3276AA6C" w14:textId="5044A479" w:rsidR="007E66EF" w:rsidRPr="00D82DB0" w:rsidRDefault="00193A34" w:rsidP="00DF3C57">
            <w:pPr>
              <w:rPr>
                <w:rFonts w:ascii="Cambria" w:hAnsi="Cambria" w:cstheme="minorHAnsi"/>
              </w:rPr>
            </w:pPr>
            <w:r w:rsidRPr="00193A34">
              <w:rPr>
                <w:rFonts w:ascii="Georgia" w:hAnsi="Georgia" w:cs="Segoe UI"/>
                <w:color w:val="242424"/>
                <w:sz w:val="23"/>
                <w:szCs w:val="23"/>
              </w:rPr>
              <w:t>Explore disability from a global perspective while experiencing the tourism, disability services, and education industries in Australia.  Experience first-hand accessibility options while discovering unique places like the Sydney Opera House, Great Barrier Reef, and much more. Travel to a local school and hear first-hand from teachers about educating students with disabilities in Australia. Learn about available services that support individuals with disabilities in community participation, independent living, employment, and leisure.  Prior to departure, you will learn about the principles of Universal Design of Learning. This knowledge will help you to recognize these principles in action in Australia and come home to create inclusive opportunities for individuals with disabilities.</w:t>
            </w:r>
          </w:p>
        </w:tc>
      </w:tr>
    </w:tbl>
    <w:p w14:paraId="7A3F6756" w14:textId="77777777" w:rsidR="00F30971" w:rsidRPr="00D82DB0" w:rsidRDefault="00F30971" w:rsidP="00DF3C57">
      <w:pPr>
        <w:rPr>
          <w:rFonts w:ascii="Cambria" w:hAnsi="Cambria" w:cstheme="minorHAnsi"/>
        </w:rPr>
      </w:pPr>
    </w:p>
    <w:p w14:paraId="3AC5702D" w14:textId="33911E93" w:rsidR="008109C7" w:rsidRPr="00D82DB0" w:rsidRDefault="008109C7" w:rsidP="00AE1BE1">
      <w:pPr>
        <w:rPr>
          <w:rFonts w:ascii="Cambria" w:hAnsi="Cambria" w:cstheme="minorHAnsi"/>
          <w:b/>
          <w:bCs/>
        </w:rPr>
      </w:pPr>
      <w:r w:rsidRPr="00D82DB0">
        <w:rPr>
          <w:rFonts w:ascii="Cambria" w:hAnsi="Cambria" w:cstheme="minorHAnsi"/>
          <w:b/>
          <w:bCs/>
        </w:rPr>
        <w:t>Course Level</w:t>
      </w:r>
      <w:r w:rsidR="00D82DB0">
        <w:rPr>
          <w:rFonts w:ascii="Cambria" w:hAnsi="Cambria" w:cstheme="minorHAnsi"/>
          <w:b/>
          <w:bCs/>
        </w:rPr>
        <w:t xml:space="preserve"> and Credit Hours</w:t>
      </w:r>
    </w:p>
    <w:tbl>
      <w:tblPr>
        <w:tblStyle w:val="TableGrid"/>
        <w:tblW w:w="0" w:type="auto"/>
        <w:tblLook w:val="04A0" w:firstRow="1" w:lastRow="0" w:firstColumn="1" w:lastColumn="0" w:noHBand="0" w:noVBand="1"/>
      </w:tblPr>
      <w:tblGrid>
        <w:gridCol w:w="9350"/>
      </w:tblGrid>
      <w:tr w:rsidR="008109C7" w:rsidRPr="00D82DB0" w14:paraId="64F00D94" w14:textId="77777777" w:rsidTr="008109C7">
        <w:trPr>
          <w:trHeight w:val="647"/>
        </w:trPr>
        <w:tc>
          <w:tcPr>
            <w:tcW w:w="9350" w:type="dxa"/>
          </w:tcPr>
          <w:p w14:paraId="5F970482" w14:textId="77777777" w:rsidR="00D623A9" w:rsidRDefault="000C766F" w:rsidP="00AE1BE1">
            <w:pPr>
              <w:rPr>
                <w:rFonts w:ascii="Cambria" w:eastAsia="Cambria" w:hAnsi="Cambria" w:cs="Cambria"/>
              </w:rPr>
            </w:pPr>
            <w:r>
              <w:rPr>
                <w:rFonts w:ascii="Cambria" w:eastAsia="Cambria" w:hAnsi="Cambria" w:cs="Cambria"/>
              </w:rPr>
              <w:t>Lower divisio</w:t>
            </w:r>
            <w:r w:rsidR="00DC6670">
              <w:rPr>
                <w:rFonts w:ascii="Cambria" w:eastAsia="Cambria" w:hAnsi="Cambria" w:cs="Cambria"/>
              </w:rPr>
              <w:t xml:space="preserve">n </w:t>
            </w:r>
            <w:r w:rsidR="00D623A9">
              <w:rPr>
                <w:rFonts w:ascii="Cambria" w:eastAsia="Cambria" w:hAnsi="Cambria" w:cs="Cambria"/>
              </w:rPr>
              <w:t>Undergraduate Course 3 Credit Hours</w:t>
            </w:r>
          </w:p>
          <w:p w14:paraId="6171C71A" w14:textId="799684CE" w:rsidR="00D623A9" w:rsidRPr="00D623A9" w:rsidRDefault="00D623A9" w:rsidP="00AE1BE1">
            <w:pPr>
              <w:rPr>
                <w:rFonts w:ascii="Cambria" w:eastAsia="Cambria" w:hAnsi="Cambria" w:cs="Cambria"/>
              </w:rPr>
            </w:pPr>
            <w:r>
              <w:rPr>
                <w:rFonts w:ascii="Cambria" w:eastAsia="Cambria" w:hAnsi="Cambria" w:cs="Cambria"/>
              </w:rPr>
              <w:t>Undergraduate Honors Course 3 Credit Hours</w:t>
            </w:r>
          </w:p>
        </w:tc>
      </w:tr>
    </w:tbl>
    <w:p w14:paraId="50FBBC2E" w14:textId="77777777" w:rsidR="008109C7" w:rsidRPr="00D82DB0" w:rsidRDefault="008109C7" w:rsidP="00AE1BE1">
      <w:pPr>
        <w:rPr>
          <w:rFonts w:ascii="Cambria" w:hAnsi="Cambria" w:cstheme="minorHAnsi"/>
          <w:b/>
          <w:bCs/>
        </w:rPr>
      </w:pPr>
    </w:p>
    <w:p w14:paraId="6ACF95F1" w14:textId="436D3E4C" w:rsidR="00AE1BE1" w:rsidRPr="00D82DB0" w:rsidRDefault="00AE1BE1" w:rsidP="00AE1BE1">
      <w:pPr>
        <w:rPr>
          <w:rFonts w:ascii="Cambria" w:hAnsi="Cambria" w:cstheme="minorHAnsi"/>
          <w:b/>
          <w:bCs/>
        </w:rPr>
      </w:pPr>
      <w:r w:rsidRPr="00D82DB0">
        <w:rPr>
          <w:rFonts w:ascii="Cambria" w:hAnsi="Cambria" w:cstheme="minorHAnsi"/>
          <w:b/>
          <w:bCs/>
        </w:rPr>
        <w:t>Prerequisite(s)</w:t>
      </w:r>
    </w:p>
    <w:tbl>
      <w:tblPr>
        <w:tblStyle w:val="TableGrid"/>
        <w:tblW w:w="0" w:type="auto"/>
        <w:tblLook w:val="04A0" w:firstRow="1" w:lastRow="0" w:firstColumn="1" w:lastColumn="0" w:noHBand="0" w:noVBand="1"/>
      </w:tblPr>
      <w:tblGrid>
        <w:gridCol w:w="9328"/>
      </w:tblGrid>
      <w:tr w:rsidR="007E66EF" w:rsidRPr="00D82DB0" w14:paraId="12DE937E" w14:textId="77777777" w:rsidTr="007E66EF">
        <w:trPr>
          <w:trHeight w:val="625"/>
        </w:trPr>
        <w:tc>
          <w:tcPr>
            <w:tcW w:w="9328" w:type="dxa"/>
          </w:tcPr>
          <w:p w14:paraId="27AF806D" w14:textId="4C22EECE" w:rsidR="007E66EF" w:rsidRPr="00D82DB0" w:rsidRDefault="000C766F" w:rsidP="00DF3C57">
            <w:pPr>
              <w:rPr>
                <w:rFonts w:ascii="Cambria" w:hAnsi="Cambria" w:cstheme="minorHAnsi"/>
              </w:rPr>
            </w:pPr>
            <w:r>
              <w:rPr>
                <w:rFonts w:ascii="Cambria" w:hAnsi="Cambria" w:cstheme="minorHAnsi"/>
              </w:rPr>
              <w:t>None</w:t>
            </w:r>
          </w:p>
        </w:tc>
      </w:tr>
    </w:tbl>
    <w:p w14:paraId="7FA0A19C" w14:textId="77777777" w:rsidR="00AE1BE1" w:rsidRPr="00D82DB0" w:rsidRDefault="00AE1BE1" w:rsidP="00DF3C57">
      <w:pPr>
        <w:rPr>
          <w:rFonts w:ascii="Cambria" w:hAnsi="Cambria" w:cstheme="minorHAnsi"/>
          <w:b/>
          <w:bCs/>
        </w:rPr>
      </w:pPr>
    </w:p>
    <w:p w14:paraId="54133FD4" w14:textId="774C664D" w:rsidR="00955DBA" w:rsidRPr="00D82DB0" w:rsidRDefault="000A1A82" w:rsidP="00DF3C57">
      <w:pPr>
        <w:rPr>
          <w:rFonts w:ascii="Cambria" w:hAnsi="Cambria" w:cstheme="minorHAnsi"/>
        </w:rPr>
      </w:pPr>
      <w:r w:rsidRPr="00D82DB0">
        <w:rPr>
          <w:rFonts w:ascii="Cambria" w:hAnsi="Cambria" w:cstheme="minorHAnsi"/>
          <w:b/>
          <w:bCs/>
        </w:rPr>
        <w:t>Student Learning Outcomes</w:t>
      </w:r>
      <w:r w:rsidRPr="00D82DB0">
        <w:rPr>
          <w:rFonts w:ascii="Cambria" w:hAnsi="Cambria" w:cstheme="minorHAnsi"/>
        </w:rPr>
        <w:t xml:space="preserve"> </w:t>
      </w:r>
    </w:p>
    <w:p w14:paraId="4C54F5AD" w14:textId="63E6F1B7" w:rsidR="00A713E7" w:rsidRPr="00D82DB0" w:rsidRDefault="00A704DF" w:rsidP="00DF3C57">
      <w:pPr>
        <w:rPr>
          <w:rFonts w:ascii="Cambria" w:hAnsi="Cambria" w:cstheme="minorHAnsi"/>
        </w:rPr>
      </w:pPr>
      <w:r w:rsidRPr="00D82DB0">
        <w:rPr>
          <w:rFonts w:ascii="Cambria" w:hAnsi="Cambria" w:cstheme="minorHAnsi"/>
        </w:rPr>
        <w:t xml:space="preserve">Upon </w:t>
      </w:r>
      <w:r w:rsidR="00205697" w:rsidRPr="00D82DB0">
        <w:rPr>
          <w:rFonts w:ascii="Cambria" w:hAnsi="Cambria" w:cstheme="minorHAnsi"/>
        </w:rPr>
        <w:t>complet</w:t>
      </w:r>
      <w:r w:rsidRPr="00D82DB0">
        <w:rPr>
          <w:rFonts w:ascii="Cambria" w:hAnsi="Cambria" w:cstheme="minorHAnsi"/>
        </w:rPr>
        <w:t>ion of</w:t>
      </w:r>
      <w:r w:rsidR="00205697" w:rsidRPr="00D82DB0">
        <w:rPr>
          <w:rFonts w:ascii="Cambria" w:hAnsi="Cambria" w:cstheme="minorHAnsi"/>
        </w:rPr>
        <w:t xml:space="preserve"> all coursework with a passing grade and </w:t>
      </w:r>
      <w:r w:rsidR="0025703F" w:rsidRPr="00D82DB0">
        <w:rPr>
          <w:rFonts w:ascii="Cambria" w:hAnsi="Cambria" w:cstheme="minorHAnsi"/>
        </w:rPr>
        <w:t xml:space="preserve">full </w:t>
      </w:r>
      <w:r w:rsidR="00205697" w:rsidRPr="00D82DB0">
        <w:rPr>
          <w:rFonts w:ascii="Cambria" w:hAnsi="Cambria" w:cstheme="minorHAnsi"/>
        </w:rPr>
        <w:t>participat</w:t>
      </w:r>
      <w:r w:rsidRPr="00D82DB0">
        <w:rPr>
          <w:rFonts w:ascii="Cambria" w:hAnsi="Cambria" w:cstheme="minorHAnsi"/>
        </w:rPr>
        <w:t>ion</w:t>
      </w:r>
      <w:r w:rsidR="00205697" w:rsidRPr="00D82DB0">
        <w:rPr>
          <w:rFonts w:ascii="Cambria" w:hAnsi="Cambria" w:cstheme="minorHAnsi"/>
        </w:rPr>
        <w:t xml:space="preserve"> in </w:t>
      </w:r>
      <w:r w:rsidRPr="00D82DB0">
        <w:rPr>
          <w:rFonts w:ascii="Cambria" w:hAnsi="Cambria" w:cstheme="minorHAnsi"/>
        </w:rPr>
        <w:t>course</w:t>
      </w:r>
      <w:r w:rsidR="00205697" w:rsidRPr="00D82DB0">
        <w:rPr>
          <w:rFonts w:ascii="Cambria" w:hAnsi="Cambria" w:cstheme="minorHAnsi"/>
        </w:rPr>
        <w:t xml:space="preserve"> activities, </w:t>
      </w:r>
      <w:r w:rsidRPr="00D82DB0">
        <w:rPr>
          <w:rFonts w:ascii="Cambria" w:hAnsi="Cambria" w:cstheme="minorHAnsi"/>
        </w:rPr>
        <w:t>students</w:t>
      </w:r>
      <w:r w:rsidR="00205697" w:rsidRPr="00D82DB0">
        <w:rPr>
          <w:rFonts w:ascii="Cambria" w:hAnsi="Cambria" w:cstheme="minorHAnsi"/>
        </w:rPr>
        <w:t xml:space="preserve"> shall be able to:</w:t>
      </w:r>
    </w:p>
    <w:tbl>
      <w:tblPr>
        <w:tblStyle w:val="TableGrid"/>
        <w:tblW w:w="9371" w:type="dxa"/>
        <w:tblLook w:val="04A0" w:firstRow="1" w:lastRow="0" w:firstColumn="1" w:lastColumn="0" w:noHBand="0" w:noVBand="1"/>
      </w:tblPr>
      <w:tblGrid>
        <w:gridCol w:w="9371"/>
      </w:tblGrid>
      <w:tr w:rsidR="007E66EF" w:rsidRPr="00D82DB0" w14:paraId="096FEB4D" w14:textId="77777777" w:rsidTr="00301A8F">
        <w:trPr>
          <w:trHeight w:val="2573"/>
        </w:trPr>
        <w:tc>
          <w:tcPr>
            <w:tcW w:w="9371" w:type="dxa"/>
          </w:tcPr>
          <w:p w14:paraId="6499B6BC" w14:textId="77777777" w:rsidR="000C766F" w:rsidRPr="007445AE" w:rsidRDefault="000C766F" w:rsidP="000C766F">
            <w:pPr>
              <w:rPr>
                <w:rFonts w:ascii="Cambria" w:eastAsia="Cambria" w:hAnsi="Cambria" w:cs="Cambria"/>
              </w:rPr>
            </w:pPr>
            <w:r w:rsidRPr="007445AE">
              <w:rPr>
                <w:rFonts w:ascii="Cambria" w:eastAsia="Cambria" w:hAnsi="Cambria" w:cs="Cambria"/>
              </w:rPr>
              <w:t>1.</w:t>
            </w:r>
            <w:r>
              <w:rPr>
                <w:rFonts w:ascii="Cambria" w:eastAsia="Cambria" w:hAnsi="Cambria" w:cs="Cambria"/>
              </w:rPr>
              <w:t xml:space="preserve"> Describe how the principles of Universal Design for Learning are used to create accessibility and inclusion within Australian tourism, disability services, and educational settings.</w:t>
            </w:r>
          </w:p>
          <w:p w14:paraId="7804439A" w14:textId="77777777" w:rsidR="000C766F" w:rsidRPr="007445AE" w:rsidRDefault="000C766F" w:rsidP="000C766F">
            <w:pPr>
              <w:rPr>
                <w:rFonts w:ascii="Cambria" w:eastAsia="Cambria" w:hAnsi="Cambria" w:cs="Cambria"/>
              </w:rPr>
            </w:pPr>
            <w:r w:rsidRPr="007445AE">
              <w:rPr>
                <w:rFonts w:ascii="Cambria" w:eastAsia="Cambria" w:hAnsi="Cambria" w:cs="Cambria"/>
              </w:rPr>
              <w:t>2.</w:t>
            </w:r>
            <w:r>
              <w:rPr>
                <w:rFonts w:ascii="Cambria" w:eastAsia="Cambria" w:hAnsi="Cambria" w:cs="Cambria"/>
              </w:rPr>
              <w:t xml:space="preserve"> Reflect on the accessibility and inclusion options available to individuals with disabilities within the Australian tourism, disability services, and educational settings.  </w:t>
            </w:r>
          </w:p>
          <w:p w14:paraId="56A26E12" w14:textId="77777777" w:rsidR="000C766F" w:rsidRPr="007445AE" w:rsidRDefault="000C766F" w:rsidP="000C766F">
            <w:pPr>
              <w:rPr>
                <w:rFonts w:ascii="Cambria" w:eastAsia="Cambria" w:hAnsi="Cambria" w:cs="Cambria"/>
              </w:rPr>
            </w:pPr>
            <w:r>
              <w:rPr>
                <w:rFonts w:ascii="Cambria" w:eastAsia="Cambria" w:hAnsi="Cambria" w:cs="Cambria"/>
              </w:rPr>
              <w:t>3</w:t>
            </w:r>
            <w:r w:rsidRPr="007445AE">
              <w:rPr>
                <w:rFonts w:ascii="Cambria" w:eastAsia="Cambria" w:hAnsi="Cambria" w:cs="Cambria"/>
              </w:rPr>
              <w:t>.</w:t>
            </w:r>
            <w:r>
              <w:rPr>
                <w:rFonts w:ascii="Cambria" w:eastAsia="Cambria" w:hAnsi="Cambria" w:cs="Cambria"/>
              </w:rPr>
              <w:t xml:space="preserve"> Create a final project that discusses disability accessibility and inclusion within the Australian tourism, disability services, and educational settings. Included in this project will be a</w:t>
            </w:r>
            <w:r>
              <w:rPr>
                <w:rFonts w:ascii="Cambria" w:hAnsi="Cambria"/>
              </w:rPr>
              <w:t xml:space="preserve"> reflection of how what has been learned in this course can be applied to the future roles students may have in their professional or personal lives. </w:t>
            </w:r>
          </w:p>
          <w:p w14:paraId="22073458" w14:textId="77777777" w:rsidR="007E66EF" w:rsidRPr="00D82DB0" w:rsidRDefault="007E66EF" w:rsidP="007E66EF">
            <w:pPr>
              <w:rPr>
                <w:rFonts w:ascii="Cambria" w:hAnsi="Cambria" w:cstheme="minorHAnsi"/>
              </w:rPr>
            </w:pPr>
          </w:p>
        </w:tc>
      </w:tr>
    </w:tbl>
    <w:p w14:paraId="210A634F" w14:textId="156C69F2" w:rsidR="00C524BF" w:rsidRPr="00D82DB0" w:rsidRDefault="00C524BF" w:rsidP="007E66EF">
      <w:pPr>
        <w:rPr>
          <w:rFonts w:ascii="Cambria" w:hAnsi="Cambria" w:cstheme="minorHAnsi"/>
          <w:b/>
          <w:bCs/>
        </w:rPr>
      </w:pPr>
    </w:p>
    <w:p w14:paraId="2C0CC11A" w14:textId="5B30447E" w:rsidR="00A20EAF" w:rsidRPr="00D82DB0" w:rsidRDefault="000A1A82" w:rsidP="00DF3C57">
      <w:pPr>
        <w:rPr>
          <w:rFonts w:ascii="Cambria" w:hAnsi="Cambria" w:cstheme="minorHAnsi"/>
          <w:b/>
          <w:bCs/>
        </w:rPr>
      </w:pPr>
      <w:r w:rsidRPr="00D82DB0">
        <w:rPr>
          <w:rFonts w:ascii="Cambria" w:hAnsi="Cambria" w:cstheme="minorHAnsi"/>
          <w:b/>
          <w:bCs/>
        </w:rPr>
        <w:t>Required Readings and Materials</w:t>
      </w:r>
    </w:p>
    <w:tbl>
      <w:tblPr>
        <w:tblStyle w:val="TableGrid"/>
        <w:tblW w:w="9360" w:type="dxa"/>
        <w:tblLook w:val="04A0" w:firstRow="1" w:lastRow="0" w:firstColumn="1" w:lastColumn="0" w:noHBand="0" w:noVBand="1"/>
      </w:tblPr>
      <w:tblGrid>
        <w:gridCol w:w="9360"/>
      </w:tblGrid>
      <w:tr w:rsidR="007E66EF" w:rsidRPr="00D82DB0" w14:paraId="6004F4BC" w14:textId="77777777" w:rsidTr="007E66EF">
        <w:trPr>
          <w:trHeight w:val="1233"/>
        </w:trPr>
        <w:tc>
          <w:tcPr>
            <w:tcW w:w="9360" w:type="dxa"/>
          </w:tcPr>
          <w:p w14:paraId="61DAE48F" w14:textId="463C20B7" w:rsidR="007E66EF" w:rsidRDefault="00785AA3" w:rsidP="00DF3C57">
            <w:pPr>
              <w:rPr>
                <w:rFonts w:ascii="Cambria" w:hAnsi="Cambria" w:cstheme="minorHAnsi"/>
              </w:rPr>
            </w:pPr>
            <w:r>
              <w:rPr>
                <w:rFonts w:ascii="Cambria" w:hAnsi="Cambria" w:cstheme="minorHAnsi"/>
              </w:rPr>
              <w:t xml:space="preserve">Online articles and readings will be distributed for pre-departure module completion and while in Australia. </w:t>
            </w:r>
            <w:r w:rsidR="00721130">
              <w:rPr>
                <w:rFonts w:ascii="Cambria" w:hAnsi="Cambria" w:cstheme="minorHAnsi"/>
              </w:rPr>
              <w:t>These online readings contain the following topics</w:t>
            </w:r>
            <w:r w:rsidR="009A699E">
              <w:rPr>
                <w:rFonts w:ascii="Cambria" w:hAnsi="Cambria" w:cstheme="minorHAnsi"/>
              </w:rPr>
              <w:t xml:space="preserve">, </w:t>
            </w:r>
            <w:r w:rsidR="00721130">
              <w:rPr>
                <w:rFonts w:ascii="Cambria" w:hAnsi="Cambria" w:cstheme="minorHAnsi"/>
              </w:rPr>
              <w:t>readings</w:t>
            </w:r>
            <w:r w:rsidR="009A699E">
              <w:rPr>
                <w:rFonts w:ascii="Cambria" w:hAnsi="Cambria" w:cstheme="minorHAnsi"/>
              </w:rPr>
              <w:t>, and videos</w:t>
            </w:r>
            <w:r w:rsidR="00721130">
              <w:rPr>
                <w:rFonts w:ascii="Cambria" w:hAnsi="Cambria" w:cstheme="minorHAnsi"/>
              </w:rPr>
              <w:t>:</w:t>
            </w:r>
          </w:p>
          <w:p w14:paraId="18E6BFB8" w14:textId="77777777" w:rsidR="00193A34" w:rsidRDefault="00193A34" w:rsidP="00DF3C57">
            <w:pPr>
              <w:rPr>
                <w:rFonts w:ascii="Cambria" w:hAnsi="Cambria" w:cstheme="minorHAnsi"/>
              </w:rPr>
            </w:pPr>
          </w:p>
          <w:p w14:paraId="65A6EE74" w14:textId="59B36B3D" w:rsidR="00193A34" w:rsidRPr="0069280A" w:rsidRDefault="00193A34" w:rsidP="00DF3C57">
            <w:pPr>
              <w:rPr>
                <w:rFonts w:ascii="Cambria" w:hAnsi="Cambria" w:cstheme="minorHAnsi"/>
                <w:b/>
                <w:bCs/>
              </w:rPr>
            </w:pPr>
            <w:r w:rsidRPr="0069280A">
              <w:rPr>
                <w:rFonts w:ascii="Cambria" w:hAnsi="Cambria" w:cstheme="minorHAnsi"/>
                <w:b/>
                <w:bCs/>
              </w:rPr>
              <w:t>Universal Design for Learning:</w:t>
            </w:r>
          </w:p>
          <w:p w14:paraId="090B6CC4" w14:textId="404E0196" w:rsidR="00721130" w:rsidRDefault="00721130" w:rsidP="00136F44">
            <w:pPr>
              <w:pStyle w:val="ListParagraph"/>
              <w:numPr>
                <w:ilvl w:val="0"/>
                <w:numId w:val="11"/>
              </w:numPr>
              <w:rPr>
                <w:rFonts w:ascii="Cambria" w:hAnsi="Cambria" w:cstheme="minorHAnsi"/>
              </w:rPr>
            </w:pPr>
            <w:hyperlink r:id="rId8" w:history="1">
              <w:r w:rsidRPr="00721130">
                <w:rPr>
                  <w:rStyle w:val="Hyperlink"/>
                  <w:rFonts w:ascii="Cambria" w:hAnsi="Cambria" w:cstheme="minorHAnsi"/>
                </w:rPr>
                <w:t>The UDL Guidelines and Principles</w:t>
              </w:r>
            </w:hyperlink>
          </w:p>
          <w:p w14:paraId="6CD59AEA" w14:textId="3BFC8C65" w:rsidR="00721130" w:rsidRPr="00136F44" w:rsidRDefault="00721130" w:rsidP="00136F44">
            <w:pPr>
              <w:pStyle w:val="ListParagraph"/>
              <w:numPr>
                <w:ilvl w:val="0"/>
                <w:numId w:val="11"/>
              </w:numPr>
              <w:rPr>
                <w:rFonts w:ascii="Cambria" w:hAnsi="Cambria" w:cstheme="minorHAnsi"/>
              </w:rPr>
            </w:pPr>
            <w:hyperlink r:id="rId9" w:anchor="content" w:history="1">
              <w:r w:rsidRPr="00721130">
                <w:rPr>
                  <w:rStyle w:val="Hyperlink"/>
                  <w:rFonts w:ascii="Cambria" w:hAnsi="Cambria" w:cstheme="minorHAnsi"/>
                </w:rPr>
                <w:t>Universal Design for Learning, Addressing Barriers, and UDL Principles</w:t>
              </w:r>
            </w:hyperlink>
            <w:r>
              <w:rPr>
                <w:rFonts w:ascii="Cambria" w:hAnsi="Cambria" w:cstheme="minorHAnsi"/>
              </w:rPr>
              <w:t>: Completion of sections 1, 2, &amp; 3 of the IRIS Center UDL: Designing Learning Experiences that Engage and Challenge All</w:t>
            </w:r>
          </w:p>
          <w:p w14:paraId="73386265" w14:textId="77777777" w:rsidR="00303491" w:rsidRDefault="00303491" w:rsidP="00DF3C57">
            <w:pPr>
              <w:rPr>
                <w:rFonts w:ascii="Cambria" w:hAnsi="Cambria" w:cstheme="minorHAnsi"/>
              </w:rPr>
            </w:pPr>
          </w:p>
          <w:p w14:paraId="58238293" w14:textId="4961A0F6" w:rsidR="00303491" w:rsidRPr="0069280A" w:rsidRDefault="00303491" w:rsidP="00DF3C57">
            <w:pPr>
              <w:rPr>
                <w:rFonts w:ascii="Cambria" w:hAnsi="Cambria" w:cstheme="minorHAnsi"/>
                <w:b/>
                <w:bCs/>
              </w:rPr>
            </w:pPr>
            <w:r w:rsidRPr="0069280A">
              <w:rPr>
                <w:rFonts w:ascii="Cambria" w:hAnsi="Cambria" w:cstheme="minorHAnsi"/>
                <w:b/>
                <w:bCs/>
              </w:rPr>
              <w:t>Accessibility</w:t>
            </w:r>
            <w:r w:rsidR="0069280A" w:rsidRPr="0069280A">
              <w:rPr>
                <w:rFonts w:ascii="Cambria" w:hAnsi="Cambria" w:cstheme="minorHAnsi"/>
                <w:b/>
                <w:bCs/>
              </w:rPr>
              <w:t>:</w:t>
            </w:r>
          </w:p>
          <w:p w14:paraId="1682BB2B" w14:textId="25B97047" w:rsidR="0069280A" w:rsidRPr="00721130" w:rsidRDefault="0069280A" w:rsidP="00136F44">
            <w:pPr>
              <w:pStyle w:val="ListParagraph"/>
              <w:numPr>
                <w:ilvl w:val="0"/>
                <w:numId w:val="11"/>
              </w:numPr>
              <w:rPr>
                <w:rFonts w:ascii="Cambria" w:hAnsi="Cambria" w:cstheme="minorHAnsi"/>
              </w:rPr>
            </w:pPr>
            <w:hyperlink r:id="rId10" w:history="1">
              <w:r w:rsidRPr="00136F44">
                <w:rPr>
                  <w:rStyle w:val="Hyperlink"/>
                  <w:rFonts w:ascii="Cambria" w:hAnsi="Cambria" w:cstheme="minorHAnsi"/>
                </w:rPr>
                <w:t>Access for All: Improving Accessibility in Australia:</w:t>
              </w:r>
            </w:hyperlink>
          </w:p>
          <w:p w14:paraId="3FB6498D" w14:textId="3F1854D2" w:rsidR="008A6924" w:rsidRPr="00721130" w:rsidRDefault="00136F44" w:rsidP="00136F44">
            <w:pPr>
              <w:pStyle w:val="ListParagraph"/>
              <w:numPr>
                <w:ilvl w:val="0"/>
                <w:numId w:val="11"/>
              </w:numPr>
              <w:rPr>
                <w:rFonts w:ascii="Cambria" w:hAnsi="Cambria" w:cstheme="minorHAnsi"/>
              </w:rPr>
            </w:pPr>
            <w:hyperlink r:id="rId11" w:history="1">
              <w:r w:rsidRPr="00136F44">
                <w:rPr>
                  <w:rStyle w:val="Hyperlink"/>
                  <w:rFonts w:ascii="Cambria" w:hAnsi="Cambria" w:cstheme="minorHAnsi"/>
                </w:rPr>
                <w:t>Australia Tourism Accessibility</w:t>
              </w:r>
            </w:hyperlink>
            <w:r w:rsidRPr="00721130">
              <w:rPr>
                <w:rFonts w:ascii="Cambria" w:hAnsi="Cambria" w:cstheme="minorHAnsi"/>
              </w:rPr>
              <w:t xml:space="preserve"> </w:t>
            </w:r>
          </w:p>
          <w:p w14:paraId="67670C47" w14:textId="77777777" w:rsidR="00D659C2" w:rsidRDefault="00D659C2" w:rsidP="00DF3C57">
            <w:pPr>
              <w:rPr>
                <w:rFonts w:ascii="Cambria" w:hAnsi="Cambria" w:cstheme="minorHAnsi"/>
              </w:rPr>
            </w:pPr>
          </w:p>
          <w:p w14:paraId="2CE509A1" w14:textId="53B7321E" w:rsidR="00D659C2" w:rsidRPr="00D43423" w:rsidRDefault="00D659C2" w:rsidP="00DF3C57">
            <w:pPr>
              <w:rPr>
                <w:rFonts w:ascii="Cambria" w:hAnsi="Cambria" w:cstheme="minorHAnsi"/>
                <w:b/>
                <w:bCs/>
              </w:rPr>
            </w:pPr>
            <w:r w:rsidRPr="00D43423">
              <w:rPr>
                <w:rFonts w:ascii="Cambria" w:hAnsi="Cambria" w:cstheme="minorHAnsi"/>
                <w:b/>
                <w:bCs/>
              </w:rPr>
              <w:t>Disability</w:t>
            </w:r>
            <w:r w:rsidR="00136F44">
              <w:rPr>
                <w:rFonts w:ascii="Cambria" w:hAnsi="Cambria" w:cstheme="minorHAnsi"/>
                <w:b/>
                <w:bCs/>
              </w:rPr>
              <w:t>:</w:t>
            </w:r>
          </w:p>
          <w:p w14:paraId="09A41C5C" w14:textId="2B2994B4" w:rsidR="00D43423" w:rsidRPr="00721130" w:rsidRDefault="00136F44" w:rsidP="00136F44">
            <w:pPr>
              <w:pStyle w:val="ListParagraph"/>
              <w:numPr>
                <w:ilvl w:val="0"/>
                <w:numId w:val="11"/>
              </w:numPr>
              <w:rPr>
                <w:rFonts w:ascii="Cambria" w:hAnsi="Cambria" w:cstheme="minorHAnsi"/>
              </w:rPr>
            </w:pPr>
            <w:hyperlink r:id="rId12" w:history="1">
              <w:r w:rsidRPr="00136F44">
                <w:rPr>
                  <w:rStyle w:val="Hyperlink"/>
                  <w:rFonts w:ascii="Cambria" w:hAnsi="Cambria" w:cstheme="minorHAnsi"/>
                </w:rPr>
                <w:t>Defining Disability, Accessibility and Inclusion in Australia</w:t>
              </w:r>
            </w:hyperlink>
            <w:r w:rsidR="00D43423" w:rsidRPr="00721130">
              <w:rPr>
                <w:rFonts w:ascii="Cambria" w:hAnsi="Cambria" w:cstheme="minorHAnsi"/>
              </w:rPr>
              <w:t xml:space="preserve"> </w:t>
            </w:r>
          </w:p>
          <w:p w14:paraId="3BD958F9" w14:textId="0A13F989" w:rsidR="00D43423" w:rsidRPr="00721130" w:rsidRDefault="009C48A1" w:rsidP="00136F44">
            <w:pPr>
              <w:pStyle w:val="ListParagraph"/>
              <w:numPr>
                <w:ilvl w:val="0"/>
                <w:numId w:val="11"/>
              </w:numPr>
              <w:rPr>
                <w:rFonts w:ascii="Cambria" w:hAnsi="Cambria" w:cstheme="minorHAnsi"/>
              </w:rPr>
            </w:pPr>
            <w:hyperlink r:id="rId13" w:history="1">
              <w:r w:rsidRPr="00136F44">
                <w:rPr>
                  <w:rStyle w:val="Hyperlink"/>
                  <w:rFonts w:ascii="Cambria" w:hAnsi="Cambria" w:cstheme="minorHAnsi"/>
                </w:rPr>
                <w:t>National Consistent Collection of Data on School Students with Disability: Definitions of Disability and the NCCD Categories</w:t>
              </w:r>
            </w:hyperlink>
          </w:p>
          <w:p w14:paraId="37858754" w14:textId="5968440B" w:rsidR="008A6924" w:rsidRDefault="000D4130" w:rsidP="00136F44">
            <w:pPr>
              <w:pStyle w:val="ListParagraph"/>
              <w:numPr>
                <w:ilvl w:val="0"/>
                <w:numId w:val="11"/>
              </w:numPr>
              <w:rPr>
                <w:rFonts w:ascii="Cambria" w:hAnsi="Cambria" w:cstheme="minorHAnsi"/>
              </w:rPr>
            </w:pPr>
            <w:hyperlink r:id="rId14" w:history="1">
              <w:r w:rsidRPr="00136F44">
                <w:rPr>
                  <w:rStyle w:val="Hyperlink"/>
                  <w:rFonts w:ascii="Cambria" w:hAnsi="Cambria" w:cstheme="minorHAnsi"/>
                </w:rPr>
                <w:t>Australia Disability</w:t>
              </w:r>
              <w:r w:rsidR="00136F44" w:rsidRPr="00136F44">
                <w:rPr>
                  <w:rStyle w:val="Hyperlink"/>
                  <w:rFonts w:ascii="Cambria" w:hAnsi="Cambria" w:cstheme="minorHAnsi"/>
                </w:rPr>
                <w:t xml:space="preserve"> Network</w:t>
              </w:r>
              <w:r w:rsidRPr="00136F44">
                <w:rPr>
                  <w:rStyle w:val="Hyperlink"/>
                  <w:rFonts w:ascii="Cambria" w:hAnsi="Cambria" w:cstheme="minorHAnsi"/>
                </w:rPr>
                <w:t>: What is Disability</w:t>
              </w:r>
              <w:r w:rsidR="00136F44" w:rsidRPr="00136F44">
                <w:rPr>
                  <w:rStyle w:val="Hyperlink"/>
                  <w:rFonts w:ascii="Cambria" w:hAnsi="Cambria" w:cstheme="minorHAnsi"/>
                </w:rPr>
                <w:t>?</w:t>
              </w:r>
            </w:hyperlink>
            <w:r w:rsidR="00136F44" w:rsidRPr="00136F44">
              <w:rPr>
                <w:rFonts w:ascii="Cambria" w:hAnsi="Cambria" w:cstheme="minorHAnsi"/>
              </w:rPr>
              <w:t xml:space="preserve"> </w:t>
            </w:r>
          </w:p>
          <w:p w14:paraId="03F9D544" w14:textId="77777777" w:rsidR="00136F44" w:rsidRPr="00136F44" w:rsidRDefault="00136F44" w:rsidP="00136F44">
            <w:pPr>
              <w:pStyle w:val="ListParagraph"/>
              <w:rPr>
                <w:rFonts w:ascii="Cambria" w:hAnsi="Cambria" w:cstheme="minorHAnsi"/>
              </w:rPr>
            </w:pPr>
          </w:p>
          <w:p w14:paraId="2E983CA1" w14:textId="22DA884F" w:rsidR="00303491" w:rsidRPr="0069280A" w:rsidRDefault="00303491" w:rsidP="00DF3C57">
            <w:pPr>
              <w:rPr>
                <w:rFonts w:ascii="Cambria" w:hAnsi="Cambria" w:cstheme="minorHAnsi"/>
                <w:b/>
                <w:bCs/>
              </w:rPr>
            </w:pPr>
            <w:r w:rsidRPr="0069280A">
              <w:rPr>
                <w:rFonts w:ascii="Cambria" w:hAnsi="Cambria" w:cstheme="minorHAnsi"/>
                <w:b/>
                <w:bCs/>
              </w:rPr>
              <w:t>Inclusion</w:t>
            </w:r>
            <w:r w:rsidR="009A699E">
              <w:rPr>
                <w:rFonts w:ascii="Cambria" w:hAnsi="Cambria" w:cstheme="minorHAnsi"/>
                <w:b/>
                <w:bCs/>
              </w:rPr>
              <w:t>:</w:t>
            </w:r>
          </w:p>
          <w:p w14:paraId="64C66D4E" w14:textId="4BBD466E" w:rsidR="00D659C2" w:rsidRPr="009A699E" w:rsidRDefault="009A699E" w:rsidP="009A699E">
            <w:pPr>
              <w:pStyle w:val="ListParagraph"/>
              <w:numPr>
                <w:ilvl w:val="0"/>
                <w:numId w:val="11"/>
              </w:numPr>
              <w:rPr>
                <w:rFonts w:ascii="Cambria" w:hAnsi="Cambria" w:cstheme="minorHAnsi"/>
              </w:rPr>
            </w:pPr>
            <w:hyperlink r:id="rId15" w:history="1">
              <w:r w:rsidRPr="009A699E">
                <w:rPr>
                  <w:rStyle w:val="Hyperlink"/>
                  <w:rFonts w:ascii="Cambria" w:hAnsi="Cambria" w:cstheme="minorHAnsi"/>
                </w:rPr>
                <w:t>Australian Disability Network: It’s Hard Not to be Inclusive #RemoveBarriers</w:t>
              </w:r>
            </w:hyperlink>
          </w:p>
          <w:p w14:paraId="40293F37" w14:textId="77777777" w:rsidR="00C21736" w:rsidRPr="00C21736" w:rsidRDefault="00C21736" w:rsidP="00DF3C57">
            <w:pPr>
              <w:rPr>
                <w:rFonts w:ascii="Cambria" w:hAnsi="Cambria" w:cstheme="minorHAnsi"/>
              </w:rPr>
            </w:pPr>
          </w:p>
          <w:p w14:paraId="1D3BCA1A" w14:textId="29C310D4" w:rsidR="00303491" w:rsidRPr="0069280A" w:rsidRDefault="00303491" w:rsidP="00DF3C57">
            <w:pPr>
              <w:rPr>
                <w:rFonts w:ascii="Cambria" w:hAnsi="Cambria" w:cstheme="minorHAnsi"/>
                <w:b/>
                <w:bCs/>
              </w:rPr>
            </w:pPr>
            <w:r w:rsidRPr="0069280A">
              <w:rPr>
                <w:rFonts w:ascii="Cambria" w:hAnsi="Cambria" w:cstheme="minorHAnsi"/>
                <w:b/>
                <w:bCs/>
              </w:rPr>
              <w:t>Australian Disability Discrimination Act:</w:t>
            </w:r>
          </w:p>
          <w:p w14:paraId="7A4CA860" w14:textId="71BC84F1" w:rsidR="00693427" w:rsidRDefault="00303491" w:rsidP="009A699E">
            <w:pPr>
              <w:pStyle w:val="ListParagraph"/>
              <w:numPr>
                <w:ilvl w:val="0"/>
                <w:numId w:val="11"/>
              </w:numPr>
              <w:rPr>
                <w:rFonts w:ascii="Cambria" w:hAnsi="Cambria" w:cstheme="minorHAnsi"/>
              </w:rPr>
            </w:pPr>
            <w:hyperlink r:id="rId16" w:history="1">
              <w:r w:rsidRPr="009A699E">
                <w:rPr>
                  <w:rStyle w:val="Hyperlink"/>
                  <w:rFonts w:ascii="Cambria" w:hAnsi="Cambria" w:cstheme="minorHAnsi"/>
                </w:rPr>
                <w:t xml:space="preserve">A Brief Guide to </w:t>
              </w:r>
              <w:r w:rsidR="009A699E" w:rsidRPr="009A699E">
                <w:rPr>
                  <w:rStyle w:val="Hyperlink"/>
                  <w:rFonts w:ascii="Cambria" w:hAnsi="Cambria" w:cstheme="minorHAnsi"/>
                </w:rPr>
                <w:t xml:space="preserve">Australian </w:t>
              </w:r>
              <w:r w:rsidRPr="009A699E">
                <w:rPr>
                  <w:rStyle w:val="Hyperlink"/>
                  <w:rFonts w:ascii="Cambria" w:hAnsi="Cambria" w:cstheme="minorHAnsi"/>
                </w:rPr>
                <w:t>Disability Discrimination Act</w:t>
              </w:r>
            </w:hyperlink>
          </w:p>
          <w:p w14:paraId="74A29B0E" w14:textId="5F831766" w:rsidR="009A699E" w:rsidRPr="009A699E" w:rsidRDefault="009A699E" w:rsidP="009A699E">
            <w:pPr>
              <w:pStyle w:val="ListParagraph"/>
              <w:numPr>
                <w:ilvl w:val="0"/>
                <w:numId w:val="11"/>
              </w:numPr>
              <w:rPr>
                <w:rFonts w:ascii="Cambria" w:hAnsi="Cambria" w:cstheme="minorHAnsi"/>
              </w:rPr>
            </w:pPr>
            <w:hyperlink r:id="rId17" w:history="1">
              <w:r w:rsidRPr="009A699E">
                <w:rPr>
                  <w:rStyle w:val="Hyperlink"/>
                  <w:rFonts w:ascii="Cambria" w:hAnsi="Cambria" w:cstheme="minorHAnsi"/>
                </w:rPr>
                <w:t>The Disability Discrimination Act: What do Children’s Education and Care Services Need to Know?</w:t>
              </w:r>
            </w:hyperlink>
            <w:r>
              <w:rPr>
                <w:rFonts w:ascii="Cambria" w:hAnsi="Cambria" w:cstheme="minorHAnsi"/>
              </w:rPr>
              <w:t xml:space="preserve"> </w:t>
            </w:r>
          </w:p>
          <w:p w14:paraId="44EC0CD0" w14:textId="77777777" w:rsidR="008A6924" w:rsidRDefault="008A6924" w:rsidP="00DF3C57">
            <w:pPr>
              <w:rPr>
                <w:rFonts w:ascii="Cambria" w:hAnsi="Cambria" w:cstheme="minorHAnsi"/>
              </w:rPr>
            </w:pPr>
          </w:p>
          <w:p w14:paraId="09A2E2FB" w14:textId="5E85FBE4" w:rsidR="008A6924" w:rsidRPr="00D43423" w:rsidRDefault="00721130" w:rsidP="00DF3C57">
            <w:pPr>
              <w:rPr>
                <w:rFonts w:ascii="Cambria" w:hAnsi="Cambria" w:cstheme="minorHAnsi"/>
                <w:b/>
                <w:bCs/>
              </w:rPr>
            </w:pPr>
            <w:r>
              <w:rPr>
                <w:rFonts w:ascii="Cambria" w:hAnsi="Cambria" w:cstheme="minorHAnsi"/>
                <w:b/>
                <w:bCs/>
              </w:rPr>
              <w:t xml:space="preserve">Australian </w:t>
            </w:r>
            <w:r w:rsidR="008A6924" w:rsidRPr="00D43423">
              <w:rPr>
                <w:rFonts w:ascii="Cambria" w:hAnsi="Cambria" w:cstheme="minorHAnsi"/>
                <w:b/>
                <w:bCs/>
              </w:rPr>
              <w:t>Disability Access and Inclusion Plan</w:t>
            </w:r>
            <w:r>
              <w:rPr>
                <w:rFonts w:ascii="Cambria" w:hAnsi="Cambria" w:cstheme="minorHAnsi"/>
                <w:b/>
                <w:bCs/>
              </w:rPr>
              <w:t>s</w:t>
            </w:r>
            <w:r w:rsidR="008A6924" w:rsidRPr="00D43423">
              <w:rPr>
                <w:rFonts w:ascii="Cambria" w:hAnsi="Cambria" w:cstheme="minorHAnsi"/>
                <w:b/>
                <w:bCs/>
              </w:rPr>
              <w:t xml:space="preserve">: </w:t>
            </w:r>
          </w:p>
          <w:p w14:paraId="68F5A007" w14:textId="10777AC7" w:rsidR="00D43423" w:rsidRPr="00721130" w:rsidRDefault="00D62E10" w:rsidP="00136F44">
            <w:pPr>
              <w:pStyle w:val="ListParagraph"/>
              <w:numPr>
                <w:ilvl w:val="0"/>
                <w:numId w:val="11"/>
              </w:numPr>
              <w:rPr>
                <w:rFonts w:ascii="Cambria" w:hAnsi="Cambria" w:cstheme="minorHAnsi"/>
              </w:rPr>
            </w:pPr>
            <w:hyperlink r:id="rId18" w:history="1">
              <w:r w:rsidRPr="009A699E">
                <w:rPr>
                  <w:rStyle w:val="Hyperlink"/>
                  <w:rFonts w:ascii="Cambria" w:hAnsi="Cambria" w:cstheme="minorHAnsi"/>
                </w:rPr>
                <w:t xml:space="preserve">Why </w:t>
              </w:r>
              <w:r w:rsidR="009A699E" w:rsidRPr="009A699E">
                <w:rPr>
                  <w:rStyle w:val="Hyperlink"/>
                  <w:rFonts w:ascii="Cambria" w:hAnsi="Cambria" w:cstheme="minorHAnsi"/>
                </w:rPr>
                <w:t>Disability Access and Inclusion Plans?</w:t>
              </w:r>
            </w:hyperlink>
            <w:r w:rsidR="009A699E" w:rsidRPr="00721130">
              <w:rPr>
                <w:rFonts w:ascii="Cambria" w:hAnsi="Cambria" w:cstheme="minorHAnsi"/>
              </w:rPr>
              <w:t xml:space="preserve"> </w:t>
            </w:r>
          </w:p>
          <w:p w14:paraId="204C4382" w14:textId="5C855336" w:rsidR="00D43423" w:rsidRDefault="00D43423" w:rsidP="00136F44">
            <w:pPr>
              <w:pStyle w:val="ListParagraph"/>
              <w:numPr>
                <w:ilvl w:val="0"/>
                <w:numId w:val="11"/>
              </w:numPr>
              <w:rPr>
                <w:rFonts w:ascii="Cambria" w:hAnsi="Cambria" w:cstheme="minorHAnsi"/>
              </w:rPr>
            </w:pPr>
            <w:hyperlink r:id="rId19" w:history="1">
              <w:r w:rsidRPr="009A699E">
                <w:rPr>
                  <w:rStyle w:val="Hyperlink"/>
                  <w:rFonts w:ascii="Cambria" w:hAnsi="Cambria" w:cstheme="minorHAnsi"/>
                </w:rPr>
                <w:t>Australia’s Disability Strategy 2021-2031</w:t>
              </w:r>
            </w:hyperlink>
          </w:p>
          <w:p w14:paraId="57F62558" w14:textId="1E184236" w:rsidR="009A699E" w:rsidRDefault="009A699E" w:rsidP="00136F44">
            <w:pPr>
              <w:pStyle w:val="ListParagraph"/>
              <w:numPr>
                <w:ilvl w:val="0"/>
                <w:numId w:val="11"/>
              </w:numPr>
              <w:rPr>
                <w:rFonts w:ascii="Cambria" w:hAnsi="Cambria" w:cstheme="minorHAnsi"/>
              </w:rPr>
            </w:pPr>
            <w:hyperlink r:id="rId20" w:anchor="heading-1256-5" w:history="1">
              <w:r w:rsidRPr="009A699E">
                <w:rPr>
                  <w:rStyle w:val="Hyperlink"/>
                  <w:rFonts w:ascii="Cambria" w:hAnsi="Cambria" w:cstheme="minorHAnsi"/>
                </w:rPr>
                <w:t>National Library of Australia Disability Inclusion Action Plan 2024-2026</w:t>
              </w:r>
            </w:hyperlink>
          </w:p>
          <w:p w14:paraId="58825660" w14:textId="4FAED7D9" w:rsidR="008A6924" w:rsidRPr="009A699E" w:rsidRDefault="00136F44" w:rsidP="00DF3C57">
            <w:pPr>
              <w:pStyle w:val="ListParagraph"/>
              <w:numPr>
                <w:ilvl w:val="0"/>
                <w:numId w:val="11"/>
              </w:numPr>
              <w:rPr>
                <w:rFonts w:ascii="Cambria" w:hAnsi="Cambria" w:cstheme="minorHAnsi"/>
              </w:rPr>
            </w:pPr>
            <w:hyperlink r:id="rId21" w:history="1">
              <w:r w:rsidRPr="009A699E">
                <w:rPr>
                  <w:rStyle w:val="Hyperlink"/>
                  <w:rFonts w:ascii="Cambria" w:hAnsi="Cambria" w:cstheme="minorHAnsi"/>
                </w:rPr>
                <w:t>National Gallery: Disability Inclusion Action Plan</w:t>
              </w:r>
            </w:hyperlink>
            <w:r w:rsidR="009A699E">
              <w:rPr>
                <w:rFonts w:ascii="Cambria" w:hAnsi="Cambria" w:cstheme="minorHAnsi"/>
              </w:rPr>
              <w:t xml:space="preserve"> </w:t>
            </w:r>
          </w:p>
          <w:p w14:paraId="4C0E69FD" w14:textId="74517DB1" w:rsidR="00193A34" w:rsidRPr="005660E7" w:rsidRDefault="00193A34" w:rsidP="00DF3C57">
            <w:pPr>
              <w:rPr>
                <w:rFonts w:ascii="Cambria" w:hAnsi="Cambria" w:cstheme="minorHAnsi"/>
              </w:rPr>
            </w:pPr>
          </w:p>
        </w:tc>
      </w:tr>
    </w:tbl>
    <w:p w14:paraId="46120C75" w14:textId="13753EDF" w:rsidR="00A20EAF" w:rsidRPr="00D82DB0" w:rsidRDefault="00A20EAF" w:rsidP="00DF3C57">
      <w:pPr>
        <w:rPr>
          <w:rFonts w:ascii="Cambria" w:hAnsi="Cambria" w:cstheme="minorHAnsi"/>
          <w:b/>
          <w:bCs/>
        </w:rPr>
      </w:pPr>
    </w:p>
    <w:p w14:paraId="3210B73F" w14:textId="65C085DD" w:rsidR="00BD7B25" w:rsidRPr="00D82DB0" w:rsidRDefault="00BD7B25" w:rsidP="00BD7B25">
      <w:pPr>
        <w:rPr>
          <w:rFonts w:ascii="Cambria" w:hAnsi="Cambria" w:cstheme="minorHAnsi"/>
          <w:b/>
          <w:bCs/>
        </w:rPr>
      </w:pPr>
      <w:r w:rsidRPr="00D82DB0">
        <w:rPr>
          <w:rFonts w:ascii="Cambria" w:hAnsi="Cambria" w:cstheme="minorHAnsi"/>
          <w:b/>
          <w:bCs/>
        </w:rPr>
        <w:t xml:space="preserve">Assignments and Grades </w:t>
      </w:r>
    </w:p>
    <w:tbl>
      <w:tblPr>
        <w:tblStyle w:val="TableGrid"/>
        <w:tblW w:w="10047" w:type="dxa"/>
        <w:tblLayout w:type="fixed"/>
        <w:tblLook w:val="04A0" w:firstRow="1" w:lastRow="0" w:firstColumn="1" w:lastColumn="0" w:noHBand="0" w:noVBand="1"/>
      </w:tblPr>
      <w:tblGrid>
        <w:gridCol w:w="8881"/>
        <w:gridCol w:w="1166"/>
      </w:tblGrid>
      <w:tr w:rsidR="006B2918" w:rsidRPr="003B226F" w14:paraId="51ADF879" w14:textId="77777777" w:rsidTr="006B2918">
        <w:tc>
          <w:tcPr>
            <w:tcW w:w="8881" w:type="dxa"/>
          </w:tcPr>
          <w:p w14:paraId="7D286970" w14:textId="77777777" w:rsidR="006B2918" w:rsidRPr="003B226F" w:rsidRDefault="006B2918" w:rsidP="00B83130">
            <w:pPr>
              <w:jc w:val="center"/>
              <w:rPr>
                <w:rFonts w:ascii="Cambria" w:hAnsi="Cambria"/>
                <w:b/>
                <w:bCs/>
              </w:rPr>
            </w:pPr>
            <w:r w:rsidRPr="003B226F">
              <w:rPr>
                <w:rFonts w:ascii="Cambria" w:hAnsi="Cambria"/>
                <w:b/>
                <w:bCs/>
              </w:rPr>
              <w:t>LIST OF ASSIGNMENTS</w:t>
            </w:r>
          </w:p>
        </w:tc>
        <w:tc>
          <w:tcPr>
            <w:tcW w:w="1166" w:type="dxa"/>
          </w:tcPr>
          <w:p w14:paraId="1261EC2B" w14:textId="77777777" w:rsidR="006B2918" w:rsidRPr="003B226F" w:rsidRDefault="006B2918" w:rsidP="00B83130">
            <w:pPr>
              <w:jc w:val="center"/>
              <w:rPr>
                <w:rFonts w:ascii="Cambria" w:hAnsi="Cambria"/>
                <w:b/>
                <w:bCs/>
              </w:rPr>
            </w:pPr>
            <w:r w:rsidRPr="003B226F">
              <w:rPr>
                <w:rFonts w:ascii="Cambria" w:hAnsi="Cambria"/>
                <w:b/>
                <w:bCs/>
              </w:rPr>
              <w:t>Points</w:t>
            </w:r>
          </w:p>
        </w:tc>
      </w:tr>
      <w:tr w:rsidR="006B2918" w:rsidRPr="003B226F" w14:paraId="60809E3C" w14:textId="77777777" w:rsidTr="006B2918">
        <w:tc>
          <w:tcPr>
            <w:tcW w:w="8881" w:type="dxa"/>
          </w:tcPr>
          <w:p w14:paraId="1A222568" w14:textId="7E51DDCC" w:rsidR="006B2918" w:rsidRPr="003B226F" w:rsidRDefault="006B2918" w:rsidP="00B83130">
            <w:pPr>
              <w:rPr>
                <w:rFonts w:ascii="Cambria" w:hAnsi="Cambria"/>
              </w:rPr>
            </w:pPr>
            <w:r>
              <w:rPr>
                <w:rFonts w:ascii="Cambria" w:hAnsi="Cambria"/>
              </w:rPr>
              <w:t>Pre-departure online reading/module and completed assignment that defines and applies the three principles of Universal Design for Learning (UDL)</w:t>
            </w:r>
            <w:r w:rsidR="009A699E">
              <w:rPr>
                <w:rFonts w:ascii="Cambria" w:hAnsi="Cambria"/>
              </w:rPr>
              <w:t xml:space="preserve">; </w:t>
            </w:r>
            <w:r>
              <w:rPr>
                <w:rFonts w:ascii="Cambria" w:hAnsi="Cambria"/>
              </w:rPr>
              <w:t>disability categories</w:t>
            </w:r>
            <w:r w:rsidR="00721130">
              <w:rPr>
                <w:rFonts w:ascii="Cambria" w:hAnsi="Cambria"/>
              </w:rPr>
              <w:t xml:space="preserve"> as defined by Australia’s NCCD</w:t>
            </w:r>
            <w:r w:rsidR="009A699E">
              <w:rPr>
                <w:rFonts w:ascii="Cambria" w:hAnsi="Cambria"/>
              </w:rPr>
              <w:t xml:space="preserve"> and Australia’s Disability Discrimination Act;</w:t>
            </w:r>
            <w:r>
              <w:rPr>
                <w:rFonts w:ascii="Cambria" w:hAnsi="Cambria"/>
              </w:rPr>
              <w:t xml:space="preserve"> accessibility</w:t>
            </w:r>
            <w:r w:rsidR="009A699E">
              <w:rPr>
                <w:rFonts w:ascii="Cambria" w:hAnsi="Cambria"/>
              </w:rPr>
              <w:t xml:space="preserve">; </w:t>
            </w:r>
            <w:r>
              <w:rPr>
                <w:rFonts w:ascii="Cambria" w:hAnsi="Cambria"/>
              </w:rPr>
              <w:t>inclusion</w:t>
            </w:r>
            <w:r w:rsidR="009A699E">
              <w:rPr>
                <w:rFonts w:ascii="Cambria" w:hAnsi="Cambria"/>
              </w:rPr>
              <w:t>;</w:t>
            </w:r>
            <w:r>
              <w:rPr>
                <w:rFonts w:ascii="Cambria" w:hAnsi="Cambria"/>
              </w:rPr>
              <w:t xml:space="preserve"> Australia’s Disability Discrimination Act</w:t>
            </w:r>
            <w:r w:rsidR="009A699E">
              <w:rPr>
                <w:rFonts w:ascii="Cambria" w:hAnsi="Cambria"/>
              </w:rPr>
              <w:t>;</w:t>
            </w:r>
            <w:r w:rsidR="00721130">
              <w:rPr>
                <w:rFonts w:ascii="Cambria" w:hAnsi="Cambria"/>
              </w:rPr>
              <w:t xml:space="preserve"> and Australia’s Disability Access and Inclusion Plans.</w:t>
            </w:r>
          </w:p>
        </w:tc>
        <w:tc>
          <w:tcPr>
            <w:tcW w:w="1166" w:type="dxa"/>
          </w:tcPr>
          <w:p w14:paraId="2B01CC64" w14:textId="77777777" w:rsidR="006B2918" w:rsidRDefault="006B2918" w:rsidP="00B83130">
            <w:pPr>
              <w:jc w:val="center"/>
              <w:rPr>
                <w:rFonts w:ascii="Cambria" w:hAnsi="Cambria"/>
              </w:rPr>
            </w:pPr>
            <w:r>
              <w:rPr>
                <w:rFonts w:ascii="Cambria" w:hAnsi="Cambria"/>
              </w:rPr>
              <w:t>100</w:t>
            </w:r>
          </w:p>
          <w:p w14:paraId="7F0AE859" w14:textId="77777777" w:rsidR="006B2918" w:rsidRPr="003B226F" w:rsidRDefault="006B2918" w:rsidP="00B83130">
            <w:pPr>
              <w:jc w:val="center"/>
              <w:rPr>
                <w:rFonts w:ascii="Cambria" w:hAnsi="Cambria"/>
              </w:rPr>
            </w:pPr>
            <w:r>
              <w:rPr>
                <w:rFonts w:ascii="Cambria" w:hAnsi="Cambria"/>
              </w:rPr>
              <w:t>20% of grade</w:t>
            </w:r>
          </w:p>
        </w:tc>
      </w:tr>
      <w:tr w:rsidR="006B2918" w:rsidRPr="003B226F" w14:paraId="7F87CE45" w14:textId="77777777" w:rsidTr="006B2918">
        <w:tc>
          <w:tcPr>
            <w:tcW w:w="8881" w:type="dxa"/>
          </w:tcPr>
          <w:p w14:paraId="41434009" w14:textId="77777777" w:rsidR="006B2918" w:rsidRPr="003B226F" w:rsidRDefault="006B2918" w:rsidP="00B83130">
            <w:pPr>
              <w:rPr>
                <w:rFonts w:ascii="Cambria" w:hAnsi="Cambria"/>
              </w:rPr>
            </w:pPr>
            <w:r>
              <w:rPr>
                <w:rFonts w:ascii="Cambria" w:hAnsi="Cambria"/>
              </w:rPr>
              <w:t xml:space="preserve">Reflective journals that highlight the accessibility and inclusive elements and application of the three principles of UDL for each activity (ex. school visit, tours, guest lectures). This can be kept in a notebook or digital document. </w:t>
            </w:r>
          </w:p>
        </w:tc>
        <w:tc>
          <w:tcPr>
            <w:tcW w:w="1166" w:type="dxa"/>
          </w:tcPr>
          <w:p w14:paraId="4BFC63BF" w14:textId="77777777" w:rsidR="006B2918" w:rsidRDefault="006B2918" w:rsidP="00B83130">
            <w:pPr>
              <w:jc w:val="center"/>
              <w:rPr>
                <w:rFonts w:ascii="Cambria" w:hAnsi="Cambria"/>
              </w:rPr>
            </w:pPr>
            <w:r>
              <w:rPr>
                <w:rFonts w:ascii="Cambria" w:hAnsi="Cambria"/>
              </w:rPr>
              <w:t>150</w:t>
            </w:r>
          </w:p>
          <w:p w14:paraId="2C8B855B" w14:textId="77777777" w:rsidR="006B2918" w:rsidRPr="003B226F" w:rsidRDefault="006B2918" w:rsidP="00B83130">
            <w:pPr>
              <w:jc w:val="center"/>
              <w:rPr>
                <w:rFonts w:ascii="Cambria" w:hAnsi="Cambria"/>
              </w:rPr>
            </w:pPr>
            <w:r>
              <w:rPr>
                <w:rFonts w:ascii="Cambria" w:hAnsi="Cambria"/>
              </w:rPr>
              <w:t>30% of grade</w:t>
            </w:r>
          </w:p>
        </w:tc>
      </w:tr>
      <w:tr w:rsidR="006B2918" w:rsidRPr="003B226F" w14:paraId="31359035" w14:textId="77777777" w:rsidTr="006B2918">
        <w:tc>
          <w:tcPr>
            <w:tcW w:w="8881" w:type="dxa"/>
          </w:tcPr>
          <w:p w14:paraId="18012195" w14:textId="77777777" w:rsidR="006B2918" w:rsidRPr="003B226F" w:rsidRDefault="006B2918" w:rsidP="00B83130">
            <w:pPr>
              <w:rPr>
                <w:rFonts w:ascii="Cambria" w:hAnsi="Cambria"/>
              </w:rPr>
            </w:pPr>
            <w:r>
              <w:rPr>
                <w:rFonts w:ascii="Cambria" w:hAnsi="Cambria"/>
              </w:rPr>
              <w:t xml:space="preserve">*Final project that summarizes the accessibility and inclusive elements and use of the three principles of UDL within the Australian tourism, disability services, and educational settings. A reflection of how what has been learned in this course can be applied to the future roles students may have in their professional or personal lives. </w:t>
            </w:r>
          </w:p>
        </w:tc>
        <w:tc>
          <w:tcPr>
            <w:tcW w:w="1166" w:type="dxa"/>
          </w:tcPr>
          <w:p w14:paraId="7E7215FC" w14:textId="77777777" w:rsidR="006B2918" w:rsidRDefault="006B2918" w:rsidP="00B83130">
            <w:pPr>
              <w:jc w:val="center"/>
              <w:rPr>
                <w:rFonts w:ascii="Cambria" w:hAnsi="Cambria"/>
              </w:rPr>
            </w:pPr>
            <w:r>
              <w:rPr>
                <w:rFonts w:ascii="Cambria" w:hAnsi="Cambria"/>
              </w:rPr>
              <w:t>150</w:t>
            </w:r>
          </w:p>
          <w:p w14:paraId="79C261F9" w14:textId="77777777" w:rsidR="006B2918" w:rsidRPr="003B226F" w:rsidRDefault="006B2918" w:rsidP="00B83130">
            <w:pPr>
              <w:jc w:val="center"/>
              <w:rPr>
                <w:rFonts w:ascii="Cambria" w:hAnsi="Cambria"/>
              </w:rPr>
            </w:pPr>
            <w:r>
              <w:rPr>
                <w:rFonts w:ascii="Cambria" w:hAnsi="Cambria"/>
              </w:rPr>
              <w:t>30% of grade</w:t>
            </w:r>
          </w:p>
        </w:tc>
      </w:tr>
      <w:tr w:rsidR="006B2918" w:rsidRPr="003B226F" w14:paraId="1F54DF6C" w14:textId="77777777" w:rsidTr="006B2918">
        <w:tc>
          <w:tcPr>
            <w:tcW w:w="8881" w:type="dxa"/>
          </w:tcPr>
          <w:p w14:paraId="6EEA19BE" w14:textId="77777777" w:rsidR="006B2918" w:rsidRPr="003B226F" w:rsidRDefault="006B2918" w:rsidP="00B83130">
            <w:pPr>
              <w:rPr>
                <w:rFonts w:ascii="Cambria" w:hAnsi="Cambria"/>
              </w:rPr>
            </w:pPr>
            <w:r>
              <w:rPr>
                <w:rFonts w:ascii="Cambria" w:hAnsi="Cambria"/>
              </w:rPr>
              <w:t xml:space="preserve">Attendance and General Participation </w:t>
            </w:r>
          </w:p>
        </w:tc>
        <w:tc>
          <w:tcPr>
            <w:tcW w:w="1166" w:type="dxa"/>
          </w:tcPr>
          <w:p w14:paraId="25EA7BB8" w14:textId="77777777" w:rsidR="006B2918" w:rsidRDefault="006B2918" w:rsidP="00B83130">
            <w:pPr>
              <w:jc w:val="center"/>
              <w:rPr>
                <w:rFonts w:ascii="Cambria" w:hAnsi="Cambria"/>
              </w:rPr>
            </w:pPr>
            <w:r>
              <w:rPr>
                <w:rFonts w:ascii="Cambria" w:hAnsi="Cambria"/>
              </w:rPr>
              <w:t>100</w:t>
            </w:r>
          </w:p>
          <w:p w14:paraId="2F9918B0" w14:textId="77777777" w:rsidR="006B2918" w:rsidRPr="003B226F" w:rsidRDefault="006B2918" w:rsidP="00B83130">
            <w:pPr>
              <w:jc w:val="center"/>
              <w:rPr>
                <w:rFonts w:ascii="Cambria" w:hAnsi="Cambria"/>
              </w:rPr>
            </w:pPr>
            <w:r>
              <w:rPr>
                <w:rFonts w:ascii="Cambria" w:hAnsi="Cambria"/>
              </w:rPr>
              <w:t>20% of grade</w:t>
            </w:r>
          </w:p>
        </w:tc>
      </w:tr>
      <w:tr w:rsidR="006B2918" w:rsidRPr="003B226F" w14:paraId="42B5AACF" w14:textId="77777777" w:rsidTr="006B2918">
        <w:tc>
          <w:tcPr>
            <w:tcW w:w="8881" w:type="dxa"/>
          </w:tcPr>
          <w:p w14:paraId="160BF0A7" w14:textId="77777777" w:rsidR="006B2918" w:rsidRPr="003B226F" w:rsidRDefault="006B2918" w:rsidP="00B83130">
            <w:pPr>
              <w:rPr>
                <w:rFonts w:ascii="Cambria" w:hAnsi="Cambria"/>
                <w:b/>
                <w:bCs/>
              </w:rPr>
            </w:pPr>
            <w:r>
              <w:rPr>
                <w:rFonts w:ascii="Cambria" w:hAnsi="Cambria"/>
                <w:b/>
                <w:bCs/>
              </w:rPr>
              <w:t>Total</w:t>
            </w:r>
          </w:p>
        </w:tc>
        <w:tc>
          <w:tcPr>
            <w:tcW w:w="1166" w:type="dxa"/>
          </w:tcPr>
          <w:p w14:paraId="631BF5E8" w14:textId="77777777" w:rsidR="006B2918" w:rsidRPr="003B226F" w:rsidRDefault="006B2918" w:rsidP="00B83130">
            <w:pPr>
              <w:jc w:val="center"/>
              <w:rPr>
                <w:rFonts w:ascii="Cambria" w:hAnsi="Cambria"/>
                <w:b/>
                <w:bCs/>
              </w:rPr>
            </w:pPr>
            <w:r>
              <w:rPr>
                <w:rFonts w:ascii="Cambria" w:hAnsi="Cambria"/>
                <w:b/>
                <w:bCs/>
              </w:rPr>
              <w:t>500 points</w:t>
            </w:r>
          </w:p>
        </w:tc>
      </w:tr>
    </w:tbl>
    <w:p w14:paraId="5C98D5B5" w14:textId="669DE729" w:rsidR="00BD7B25" w:rsidRDefault="00BD7B25" w:rsidP="00BD7B25">
      <w:pPr>
        <w:rPr>
          <w:rFonts w:ascii="Cambria" w:hAnsi="Cambria" w:cstheme="minorHAnsi"/>
        </w:rPr>
      </w:pPr>
    </w:p>
    <w:p w14:paraId="2590B511" w14:textId="77777777" w:rsidR="00D623A9" w:rsidRDefault="00D623A9" w:rsidP="00BD7B25">
      <w:pPr>
        <w:rPr>
          <w:rFonts w:ascii="Cambria" w:hAnsi="Cambria" w:cstheme="minorHAnsi"/>
        </w:rPr>
      </w:pPr>
      <w:r w:rsidRPr="00D623A9">
        <w:rPr>
          <w:rFonts w:ascii="Cambria" w:hAnsi="Cambria" w:cstheme="minorHAnsi"/>
          <w:b/>
          <w:bCs/>
        </w:rPr>
        <w:t xml:space="preserve">Summary of Requirements for Credit Level of Enrollment: </w:t>
      </w:r>
    </w:p>
    <w:p w14:paraId="7CF2B0DA" w14:textId="4930689E" w:rsidR="002E1E98" w:rsidRDefault="00D623A9" w:rsidP="00BD7B25">
      <w:pPr>
        <w:rPr>
          <w:rFonts w:ascii="Cambria" w:hAnsi="Cambria" w:cstheme="minorHAnsi"/>
        </w:rPr>
      </w:pPr>
      <w:r w:rsidRPr="00D623A9">
        <w:rPr>
          <w:rFonts w:ascii="Cambria" w:hAnsi="Cambria" w:cstheme="minorHAnsi"/>
          <w:b/>
          <w:bCs/>
        </w:rPr>
        <w:t>Undergraduate:</w:t>
      </w:r>
      <w:r w:rsidRPr="00D623A9">
        <w:rPr>
          <w:rFonts w:ascii="Cambria" w:hAnsi="Cambria" w:cstheme="minorHAnsi"/>
        </w:rPr>
        <w:t xml:space="preserve"> Undergraduate student travel journals will require</w:t>
      </w:r>
      <w:r w:rsidR="002E1E98">
        <w:rPr>
          <w:rFonts w:ascii="Cambria" w:hAnsi="Cambria" w:cstheme="minorHAnsi"/>
        </w:rPr>
        <w:t xml:space="preserve"> a minimum of</w:t>
      </w:r>
      <w:r w:rsidRPr="00D623A9">
        <w:rPr>
          <w:rFonts w:ascii="Cambria" w:hAnsi="Cambria" w:cstheme="minorHAnsi"/>
        </w:rPr>
        <w:t xml:space="preserve"> 250 words/day</w:t>
      </w:r>
      <w:r w:rsidR="002E1E98">
        <w:rPr>
          <w:rFonts w:ascii="Cambria" w:hAnsi="Cambria" w:cstheme="minorHAnsi"/>
        </w:rPr>
        <w:t xml:space="preserve">. Journal entries will </w:t>
      </w:r>
      <w:r w:rsidRPr="00D623A9">
        <w:rPr>
          <w:rFonts w:ascii="Cambria" w:hAnsi="Cambria" w:cstheme="minorHAnsi"/>
        </w:rPr>
        <w:t>reflect upon the material learned in daily class activities</w:t>
      </w:r>
      <w:r w:rsidR="002E1E98">
        <w:rPr>
          <w:rFonts w:ascii="Cambria" w:hAnsi="Cambria" w:cstheme="minorHAnsi"/>
        </w:rPr>
        <w:t xml:space="preserve"> and observations </w:t>
      </w:r>
      <w:r w:rsidR="005F5155">
        <w:rPr>
          <w:rFonts w:ascii="Cambria" w:hAnsi="Cambria" w:cstheme="minorHAnsi"/>
        </w:rPr>
        <w:t>made pertaining to</w:t>
      </w:r>
      <w:r w:rsidR="002E1E98">
        <w:rPr>
          <w:rFonts w:ascii="Cambria" w:hAnsi="Cambria" w:cstheme="minorHAnsi"/>
        </w:rPr>
        <w:t xml:space="preserve"> accessibility, inclusion, and application of the three principles of UDL</w:t>
      </w:r>
      <w:r w:rsidRPr="00D623A9">
        <w:rPr>
          <w:rFonts w:ascii="Cambria" w:hAnsi="Cambria" w:cstheme="minorHAnsi"/>
        </w:rPr>
        <w:t>. Undergraduate students will</w:t>
      </w:r>
      <w:r w:rsidR="00CA357A">
        <w:rPr>
          <w:rFonts w:ascii="Cambria" w:hAnsi="Cambria" w:cstheme="minorHAnsi"/>
        </w:rPr>
        <w:t xml:space="preserve"> complete a final project of their choice (ex. paper, brochure, presentation, video, etc.) that summarizes Australia’s accessibility, inclusion, and use of UDL principles within the tourism, disability services, and educational settings, as well as</w:t>
      </w:r>
      <w:r w:rsidR="00DE7162">
        <w:rPr>
          <w:rFonts w:ascii="Cambria" w:hAnsi="Cambria" w:cstheme="minorHAnsi"/>
        </w:rPr>
        <w:t xml:space="preserve"> provides a reflection of how what has been learned in this course can be applied to their future professional or personal lives</w:t>
      </w:r>
      <w:r w:rsidR="00CA357A">
        <w:rPr>
          <w:rFonts w:ascii="Cambria" w:hAnsi="Cambria" w:cstheme="minorHAnsi"/>
        </w:rPr>
        <w:t>. Specific grading rubrics will be used for the grading of these assignments.</w:t>
      </w:r>
    </w:p>
    <w:p w14:paraId="09FF31CE" w14:textId="00373969" w:rsidR="00DE7162" w:rsidRDefault="00D623A9" w:rsidP="00CA357A">
      <w:pPr>
        <w:rPr>
          <w:rFonts w:ascii="Cambria" w:hAnsi="Cambria" w:cstheme="minorHAnsi"/>
        </w:rPr>
      </w:pPr>
      <w:r w:rsidRPr="00D623A9">
        <w:rPr>
          <w:rFonts w:ascii="Cambria" w:hAnsi="Cambria" w:cstheme="minorHAnsi"/>
          <w:b/>
          <w:bCs/>
        </w:rPr>
        <w:t>Honors:</w:t>
      </w:r>
      <w:r w:rsidRPr="00D623A9">
        <w:rPr>
          <w:rFonts w:ascii="Cambria" w:hAnsi="Cambria" w:cstheme="minorHAnsi"/>
        </w:rPr>
        <w:t xml:space="preserve"> Honors student travel journals will require </w:t>
      </w:r>
      <w:r w:rsidR="00CA357A">
        <w:rPr>
          <w:rFonts w:ascii="Cambria" w:hAnsi="Cambria" w:cstheme="minorHAnsi"/>
        </w:rPr>
        <w:t xml:space="preserve">a minimum of </w:t>
      </w:r>
      <w:r w:rsidRPr="00D623A9">
        <w:rPr>
          <w:rFonts w:ascii="Cambria" w:hAnsi="Cambria" w:cstheme="minorHAnsi"/>
        </w:rPr>
        <w:t>500 words/day</w:t>
      </w:r>
      <w:r w:rsidR="00CA357A">
        <w:rPr>
          <w:rFonts w:ascii="Cambria" w:hAnsi="Cambria" w:cstheme="minorHAnsi"/>
        </w:rPr>
        <w:t xml:space="preserve">. Journal entries will </w:t>
      </w:r>
      <w:r w:rsidR="00CA357A" w:rsidRPr="00D623A9">
        <w:rPr>
          <w:rFonts w:ascii="Cambria" w:hAnsi="Cambria" w:cstheme="minorHAnsi"/>
        </w:rPr>
        <w:t>reflect upon the material learned in daily class activities</w:t>
      </w:r>
      <w:r w:rsidR="00CA357A">
        <w:rPr>
          <w:rFonts w:ascii="Cambria" w:hAnsi="Cambria" w:cstheme="minorHAnsi"/>
        </w:rPr>
        <w:t>; observations of accessibility, inclusion, and application of the three principles of UDL; and include responses to specific prompts given by the instructor. Honors students will</w:t>
      </w:r>
      <w:r w:rsidR="00CA357A" w:rsidRPr="00D623A9">
        <w:rPr>
          <w:rFonts w:ascii="Cambria" w:hAnsi="Cambria" w:cstheme="minorHAnsi"/>
        </w:rPr>
        <w:t xml:space="preserve"> </w:t>
      </w:r>
      <w:r w:rsidR="00CA357A">
        <w:rPr>
          <w:rFonts w:ascii="Cambria" w:hAnsi="Cambria" w:cstheme="minorHAnsi"/>
        </w:rPr>
        <w:t xml:space="preserve">complete a final project of their choice (ex. paper, brochure, presentation, video, etc.) that summarizes Australia’s accessibility, inclusion, and use of UDL principles within the tourism, disability services, and educational </w:t>
      </w:r>
      <w:r w:rsidR="00DE7162">
        <w:rPr>
          <w:rFonts w:ascii="Cambria" w:hAnsi="Cambria" w:cstheme="minorHAnsi"/>
        </w:rPr>
        <w:t xml:space="preserve">settings; provides a reflection of </w:t>
      </w:r>
      <w:r w:rsidR="00DE7162">
        <w:rPr>
          <w:rFonts w:ascii="Cambria" w:hAnsi="Cambria" w:cstheme="minorHAnsi"/>
        </w:rPr>
        <w:lastRenderedPageBreak/>
        <w:t xml:space="preserve">how what has been learned in this course can be applied to their future professional or personal lives; and </w:t>
      </w:r>
      <w:r w:rsidR="006B663A">
        <w:rPr>
          <w:rFonts w:ascii="Cambria" w:hAnsi="Cambria" w:cstheme="minorHAnsi"/>
        </w:rPr>
        <w:t xml:space="preserve">uses their observations to </w:t>
      </w:r>
      <w:r w:rsidR="00DE7162">
        <w:rPr>
          <w:rFonts w:ascii="Cambria" w:hAnsi="Cambria" w:cstheme="minorHAnsi"/>
        </w:rPr>
        <w:t>offer</w:t>
      </w:r>
      <w:r w:rsidR="006B663A">
        <w:rPr>
          <w:rFonts w:ascii="Cambria" w:hAnsi="Cambria" w:cstheme="minorHAnsi"/>
        </w:rPr>
        <w:t xml:space="preserve"> </w:t>
      </w:r>
      <w:r w:rsidR="00DE7162">
        <w:rPr>
          <w:rFonts w:ascii="Cambria" w:hAnsi="Cambria" w:cstheme="minorHAnsi"/>
        </w:rPr>
        <w:t xml:space="preserve">recommendations for </w:t>
      </w:r>
      <w:r w:rsidR="006B663A">
        <w:rPr>
          <w:rFonts w:ascii="Cambria" w:hAnsi="Cambria" w:cstheme="minorHAnsi"/>
        </w:rPr>
        <w:t>enhancing</w:t>
      </w:r>
      <w:r w:rsidR="00DE7162">
        <w:rPr>
          <w:rFonts w:ascii="Cambria" w:hAnsi="Cambria" w:cstheme="minorHAnsi"/>
        </w:rPr>
        <w:t xml:space="preserve"> accessibility and inclusion within public settings in the United States. Specific grading rubrics will be used for the grading of these assignments.</w:t>
      </w:r>
    </w:p>
    <w:p w14:paraId="5FDBBCFA" w14:textId="77777777" w:rsidR="00BD7B25" w:rsidRPr="00D82DB0" w:rsidRDefault="00BD7B25" w:rsidP="00BD7B25">
      <w:pPr>
        <w:rPr>
          <w:rFonts w:ascii="Cambria" w:hAnsi="Cambria" w:cstheme="minorHAnsi"/>
        </w:rPr>
      </w:pPr>
      <w:r w:rsidRPr="00D82DB0">
        <w:rPr>
          <w:rFonts w:ascii="Cambria" w:hAnsi="Cambria" w:cstheme="minorHAnsi"/>
          <w:b/>
          <w:bCs/>
        </w:rPr>
        <w:t>Grading Scale</w:t>
      </w:r>
    </w:p>
    <w:p w14:paraId="0BEDBD7B" w14:textId="00D1D317" w:rsidR="00BD7B25" w:rsidRPr="00D82DB0" w:rsidRDefault="00BD7B25" w:rsidP="00BD7B25">
      <w:pPr>
        <w:rPr>
          <w:rFonts w:ascii="Cambria" w:hAnsi="Cambria" w:cstheme="minorHAnsi"/>
        </w:rPr>
      </w:pPr>
      <w:r w:rsidRPr="00D82DB0">
        <w:rPr>
          <w:rFonts w:ascii="Cambria" w:hAnsi="Cambria" w:cstheme="minorHAnsi"/>
        </w:rPr>
        <w:t xml:space="preserve">The following scale will be used to compute your grade. </w:t>
      </w:r>
    </w:p>
    <w:tbl>
      <w:tblPr>
        <w:tblStyle w:val="TableGrid"/>
        <w:tblW w:w="9403" w:type="dxa"/>
        <w:tblLook w:val="04A0" w:firstRow="1" w:lastRow="0" w:firstColumn="1" w:lastColumn="0" w:noHBand="0" w:noVBand="1"/>
      </w:tblPr>
      <w:tblGrid>
        <w:gridCol w:w="9403"/>
      </w:tblGrid>
      <w:tr w:rsidR="007E66EF" w:rsidRPr="00D82DB0" w14:paraId="3FF886AD" w14:textId="77777777" w:rsidTr="007E66EF">
        <w:trPr>
          <w:trHeight w:val="1135"/>
        </w:trPr>
        <w:tc>
          <w:tcPr>
            <w:tcW w:w="9403" w:type="dxa"/>
          </w:tcPr>
          <w:p w14:paraId="5F9A22F9" w14:textId="77777777" w:rsidR="00706022" w:rsidRDefault="00706022" w:rsidP="00706022">
            <w:pPr>
              <w:pStyle w:val="NormalWeb"/>
              <w:spacing w:before="0" w:beforeAutospacing="0" w:after="0" w:afterAutospacing="0"/>
            </w:pPr>
            <w:r>
              <w:rPr>
                <w:rFonts w:ascii="Cambria" w:hAnsi="Cambria"/>
                <w:color w:val="000000"/>
                <w:sz w:val="22"/>
                <w:szCs w:val="22"/>
              </w:rPr>
              <w:t>90 – 100% = A</w:t>
            </w:r>
          </w:p>
          <w:p w14:paraId="373C95AE" w14:textId="77777777" w:rsidR="00706022" w:rsidRDefault="00706022" w:rsidP="00706022">
            <w:pPr>
              <w:pStyle w:val="NormalWeb"/>
              <w:spacing w:before="0" w:beforeAutospacing="0" w:after="0" w:afterAutospacing="0"/>
            </w:pPr>
            <w:r>
              <w:rPr>
                <w:rFonts w:ascii="Cambria" w:hAnsi="Cambria"/>
                <w:color w:val="000000"/>
                <w:sz w:val="22"/>
                <w:szCs w:val="22"/>
              </w:rPr>
              <w:t>80 – 89% = B</w:t>
            </w:r>
          </w:p>
          <w:p w14:paraId="2A470B47" w14:textId="77777777" w:rsidR="00706022" w:rsidRDefault="00706022" w:rsidP="00706022">
            <w:pPr>
              <w:pStyle w:val="NormalWeb"/>
              <w:spacing w:before="0" w:beforeAutospacing="0" w:after="0" w:afterAutospacing="0"/>
            </w:pPr>
            <w:r>
              <w:rPr>
                <w:rFonts w:ascii="Cambria" w:hAnsi="Cambria"/>
                <w:color w:val="000000"/>
                <w:sz w:val="22"/>
                <w:szCs w:val="22"/>
              </w:rPr>
              <w:t>70 – 79% = C</w:t>
            </w:r>
          </w:p>
          <w:p w14:paraId="02887F2F" w14:textId="77777777" w:rsidR="00706022" w:rsidRDefault="00706022" w:rsidP="00706022">
            <w:pPr>
              <w:pStyle w:val="NormalWeb"/>
              <w:spacing w:before="0" w:beforeAutospacing="0" w:after="0" w:afterAutospacing="0"/>
            </w:pPr>
            <w:r>
              <w:rPr>
                <w:rFonts w:ascii="Cambria" w:hAnsi="Cambria"/>
                <w:color w:val="000000"/>
                <w:sz w:val="22"/>
                <w:szCs w:val="22"/>
              </w:rPr>
              <w:t>60 – 69% = D</w:t>
            </w:r>
          </w:p>
          <w:p w14:paraId="7BCB43E4" w14:textId="3E4B9A5A" w:rsidR="007E66EF" w:rsidRPr="00785AA3" w:rsidRDefault="00706022" w:rsidP="00785AA3">
            <w:pPr>
              <w:pStyle w:val="NormalWeb"/>
              <w:spacing w:before="0" w:beforeAutospacing="0" w:after="0" w:afterAutospacing="0"/>
            </w:pPr>
            <w:r>
              <w:rPr>
                <w:rFonts w:ascii="Cambria" w:hAnsi="Cambria"/>
                <w:color w:val="000000"/>
                <w:sz w:val="22"/>
                <w:szCs w:val="22"/>
              </w:rPr>
              <w:t>Below 60% = F</w:t>
            </w:r>
          </w:p>
        </w:tc>
      </w:tr>
    </w:tbl>
    <w:p w14:paraId="64118BB6" w14:textId="67E3CF41" w:rsidR="00BD7B25" w:rsidRPr="00D82DB0" w:rsidRDefault="00BD7B25" w:rsidP="00BD7B25">
      <w:pPr>
        <w:rPr>
          <w:rFonts w:ascii="Cambria" w:hAnsi="Cambria" w:cstheme="minorHAnsi"/>
          <w:b/>
          <w:bCs/>
        </w:rPr>
      </w:pPr>
    </w:p>
    <w:p w14:paraId="3B92A620" w14:textId="13924376" w:rsidR="00A20EAF" w:rsidRPr="00D82DB0" w:rsidRDefault="00AA59A2" w:rsidP="00DF3C57">
      <w:pPr>
        <w:rPr>
          <w:rFonts w:ascii="Cambria" w:hAnsi="Cambria" w:cstheme="minorHAnsi"/>
          <w:b/>
          <w:bCs/>
        </w:rPr>
      </w:pPr>
      <w:r w:rsidRPr="00D82DB0">
        <w:rPr>
          <w:rFonts w:ascii="Cambria" w:hAnsi="Cambria" w:cstheme="minorHAnsi"/>
          <w:b/>
          <w:bCs/>
        </w:rPr>
        <w:t>Onsite</w:t>
      </w:r>
      <w:r w:rsidR="000A1A82" w:rsidRPr="00D82DB0">
        <w:rPr>
          <w:rFonts w:ascii="Cambria" w:hAnsi="Cambria" w:cstheme="minorHAnsi"/>
          <w:b/>
          <w:bCs/>
        </w:rPr>
        <w:t xml:space="preserve"> Learning Experiences </w:t>
      </w:r>
      <w:r w:rsidR="00B33DCC" w:rsidRPr="00D82DB0">
        <w:rPr>
          <w:rFonts w:ascii="Cambria" w:hAnsi="Cambria" w:cstheme="minorHAnsi"/>
          <w:b/>
          <w:bCs/>
        </w:rPr>
        <w:t>and Activities</w:t>
      </w:r>
    </w:p>
    <w:p w14:paraId="5B57FA31" w14:textId="25BBD2E5" w:rsidR="00A96E71" w:rsidRPr="00D82DB0" w:rsidRDefault="0090192F" w:rsidP="00DF3C57">
      <w:pPr>
        <w:rPr>
          <w:rFonts w:ascii="Cambria" w:hAnsi="Cambria" w:cstheme="minorHAnsi"/>
        </w:rPr>
      </w:pPr>
      <w:r w:rsidRPr="00D82DB0">
        <w:rPr>
          <w:rFonts w:ascii="Cambria" w:hAnsi="Cambria" w:cstheme="minorHAnsi"/>
        </w:rPr>
        <w:t>O</w:t>
      </w:r>
      <w:r w:rsidR="00D509DB" w:rsidRPr="00D82DB0">
        <w:rPr>
          <w:rFonts w:ascii="Cambria" w:hAnsi="Cambria" w:cstheme="minorHAnsi"/>
        </w:rPr>
        <w:t>nsite learning experiences</w:t>
      </w:r>
      <w:r w:rsidR="00A96E71" w:rsidRPr="00D82DB0">
        <w:rPr>
          <w:rFonts w:ascii="Cambria" w:hAnsi="Cambria" w:cstheme="minorHAnsi"/>
        </w:rPr>
        <w:t xml:space="preserve"> </w:t>
      </w:r>
      <w:r w:rsidRPr="00D82DB0">
        <w:rPr>
          <w:rFonts w:ascii="Cambria" w:hAnsi="Cambria" w:cstheme="minorHAnsi"/>
        </w:rPr>
        <w:t xml:space="preserve">in this class will likely include the following site visits. </w:t>
      </w:r>
      <w:r w:rsidR="00A96E71" w:rsidRPr="00D82DB0">
        <w:rPr>
          <w:rFonts w:ascii="Cambria" w:hAnsi="Cambria" w:cstheme="minorHAnsi"/>
        </w:rPr>
        <w:t xml:space="preserve">This is a tentative list which will be replaced with a detailed daily itinerary </w:t>
      </w:r>
      <w:r w:rsidR="00D509DB" w:rsidRPr="00D82DB0">
        <w:rPr>
          <w:rFonts w:ascii="Cambria" w:hAnsi="Cambria" w:cstheme="minorHAnsi"/>
        </w:rPr>
        <w:t>of class meetings and field trips prior to the departure date.</w:t>
      </w:r>
    </w:p>
    <w:tbl>
      <w:tblPr>
        <w:tblStyle w:val="TableGrid"/>
        <w:tblW w:w="0" w:type="auto"/>
        <w:tblLook w:val="04A0" w:firstRow="1" w:lastRow="0" w:firstColumn="1" w:lastColumn="0" w:noHBand="0" w:noVBand="1"/>
      </w:tblPr>
      <w:tblGrid>
        <w:gridCol w:w="9339"/>
      </w:tblGrid>
      <w:tr w:rsidR="007E66EF" w:rsidRPr="00D82DB0" w14:paraId="471729EB" w14:textId="77777777" w:rsidTr="007E66EF">
        <w:trPr>
          <w:trHeight w:val="2510"/>
        </w:trPr>
        <w:tc>
          <w:tcPr>
            <w:tcW w:w="9339" w:type="dxa"/>
          </w:tcPr>
          <w:p w14:paraId="1D5CCE5F" w14:textId="77777777" w:rsidR="000C766F" w:rsidRPr="00524ADE" w:rsidRDefault="000C766F" w:rsidP="000C766F">
            <w:pPr>
              <w:pStyle w:val="ListParagraph"/>
              <w:widowControl w:val="0"/>
              <w:numPr>
                <w:ilvl w:val="0"/>
                <w:numId w:val="4"/>
              </w:numPr>
              <w:pBdr>
                <w:top w:val="nil"/>
                <w:left w:val="nil"/>
                <w:bottom w:val="nil"/>
                <w:right w:val="nil"/>
                <w:between w:val="nil"/>
              </w:pBdr>
              <w:rPr>
                <w:rFonts w:ascii="Cambria" w:eastAsia="Cambria" w:hAnsi="Cambria" w:cs="Cambria"/>
                <w:bCs/>
              </w:rPr>
            </w:pPr>
            <w:r w:rsidRPr="00524ADE">
              <w:rPr>
                <w:rFonts w:ascii="Cambria" w:eastAsia="Cambria" w:hAnsi="Cambria" w:cs="Cambria"/>
                <w:bCs/>
              </w:rPr>
              <w:t xml:space="preserve">Sydney Opera House tour </w:t>
            </w:r>
          </w:p>
          <w:p w14:paraId="0C65C398" w14:textId="77777777" w:rsidR="000C766F" w:rsidRPr="00524ADE" w:rsidRDefault="000C766F" w:rsidP="000C766F">
            <w:pPr>
              <w:pStyle w:val="ListParagraph"/>
              <w:widowControl w:val="0"/>
              <w:numPr>
                <w:ilvl w:val="0"/>
                <w:numId w:val="4"/>
              </w:numPr>
              <w:pBdr>
                <w:top w:val="nil"/>
                <w:left w:val="nil"/>
                <w:bottom w:val="nil"/>
                <w:right w:val="nil"/>
                <w:between w:val="nil"/>
              </w:pBdr>
              <w:rPr>
                <w:rFonts w:ascii="Cambria" w:eastAsia="Cambria" w:hAnsi="Cambria" w:cs="Cambria"/>
                <w:bCs/>
              </w:rPr>
            </w:pPr>
            <w:r w:rsidRPr="00524ADE">
              <w:rPr>
                <w:rFonts w:ascii="Cambria" w:eastAsia="Cambria" w:hAnsi="Cambria" w:cs="Cambria"/>
                <w:bCs/>
              </w:rPr>
              <w:t>Great Barrier Reef</w:t>
            </w:r>
          </w:p>
          <w:p w14:paraId="370D50B9" w14:textId="77777777" w:rsidR="000C766F" w:rsidRPr="00524ADE" w:rsidRDefault="000C766F" w:rsidP="000C766F">
            <w:pPr>
              <w:pStyle w:val="ListParagraph"/>
              <w:widowControl w:val="0"/>
              <w:numPr>
                <w:ilvl w:val="0"/>
                <w:numId w:val="4"/>
              </w:numPr>
              <w:pBdr>
                <w:top w:val="nil"/>
                <w:left w:val="nil"/>
                <w:bottom w:val="nil"/>
                <w:right w:val="nil"/>
                <w:between w:val="nil"/>
              </w:pBdr>
              <w:rPr>
                <w:rFonts w:ascii="Cambria" w:eastAsia="Cambria" w:hAnsi="Cambria" w:cs="Cambria"/>
                <w:bCs/>
              </w:rPr>
            </w:pPr>
            <w:r w:rsidRPr="00524ADE">
              <w:rPr>
                <w:rFonts w:ascii="Cambria" w:eastAsia="Cambria" w:hAnsi="Cambria" w:cs="Cambria"/>
                <w:bCs/>
              </w:rPr>
              <w:t xml:space="preserve">Public museum or zoo tours that include accessibility options, such as descriptive touch, audio, Australian sign language interpretation, and closed captioning. </w:t>
            </w:r>
          </w:p>
          <w:p w14:paraId="14DE8D05" w14:textId="77777777" w:rsidR="000C766F" w:rsidRPr="00524ADE" w:rsidRDefault="000C766F" w:rsidP="000C766F">
            <w:pPr>
              <w:pStyle w:val="ListParagraph"/>
              <w:widowControl w:val="0"/>
              <w:numPr>
                <w:ilvl w:val="0"/>
                <w:numId w:val="4"/>
              </w:numPr>
              <w:pBdr>
                <w:top w:val="nil"/>
                <w:left w:val="nil"/>
                <w:bottom w:val="nil"/>
                <w:right w:val="nil"/>
                <w:between w:val="nil"/>
              </w:pBdr>
              <w:rPr>
                <w:rFonts w:ascii="Cambria" w:eastAsia="Cambria" w:hAnsi="Cambria" w:cs="Cambria"/>
                <w:bCs/>
              </w:rPr>
            </w:pPr>
            <w:r w:rsidRPr="00524ADE">
              <w:rPr>
                <w:rFonts w:ascii="Cambria" w:eastAsia="Cambria" w:hAnsi="Cambria" w:cs="Cambria"/>
                <w:bCs/>
              </w:rPr>
              <w:t>Visit to a school</w:t>
            </w:r>
            <w:r>
              <w:rPr>
                <w:rFonts w:ascii="Cambria" w:eastAsia="Cambria" w:hAnsi="Cambria" w:cs="Cambria"/>
                <w:bCs/>
              </w:rPr>
              <w:t xml:space="preserve"> </w:t>
            </w:r>
            <w:r w:rsidRPr="00524ADE">
              <w:rPr>
                <w:rFonts w:ascii="Cambria" w:eastAsia="Cambria" w:hAnsi="Cambria" w:cs="Cambria"/>
                <w:bCs/>
              </w:rPr>
              <w:t>(instructor will make contact and arrange this). Students will observe and hear from educators who work at these institutions</w:t>
            </w:r>
            <w:r>
              <w:rPr>
                <w:rFonts w:ascii="Cambria" w:eastAsia="Cambria" w:hAnsi="Cambria" w:cs="Cambria"/>
                <w:bCs/>
              </w:rPr>
              <w:t xml:space="preserve"> to learn about education of students with disabilities in Australia. </w:t>
            </w:r>
          </w:p>
          <w:p w14:paraId="38D4BB0E" w14:textId="77777777" w:rsidR="000C766F" w:rsidRPr="00524ADE" w:rsidRDefault="000C766F" w:rsidP="000C766F">
            <w:pPr>
              <w:pStyle w:val="ListParagraph"/>
              <w:widowControl w:val="0"/>
              <w:numPr>
                <w:ilvl w:val="0"/>
                <w:numId w:val="4"/>
              </w:numPr>
              <w:pBdr>
                <w:top w:val="nil"/>
                <w:left w:val="nil"/>
                <w:bottom w:val="nil"/>
                <w:right w:val="nil"/>
                <w:between w:val="nil"/>
              </w:pBdr>
              <w:rPr>
                <w:rFonts w:ascii="Cambria" w:eastAsia="Cambria" w:hAnsi="Cambria" w:cs="Cambria"/>
                <w:bCs/>
              </w:rPr>
            </w:pPr>
            <w:r w:rsidRPr="00524ADE">
              <w:rPr>
                <w:rFonts w:ascii="Cambria" w:eastAsia="Cambria" w:hAnsi="Cambria" w:cs="Cambria"/>
                <w:bCs/>
              </w:rPr>
              <w:t xml:space="preserve">Guest lecture from a disability service provider about services provided to support individuals with disabilities in community participation, employment, and leisure (ex. the Australia Foundation for Disability- AFFORD). </w:t>
            </w:r>
          </w:p>
          <w:p w14:paraId="5418D171" w14:textId="77777777" w:rsidR="000C766F" w:rsidRPr="00524ADE" w:rsidRDefault="000C766F" w:rsidP="000C766F">
            <w:pPr>
              <w:pStyle w:val="ListParagraph"/>
              <w:widowControl w:val="0"/>
              <w:numPr>
                <w:ilvl w:val="0"/>
                <w:numId w:val="4"/>
              </w:numPr>
              <w:pBdr>
                <w:top w:val="nil"/>
                <w:left w:val="nil"/>
                <w:bottom w:val="nil"/>
                <w:right w:val="nil"/>
                <w:between w:val="nil"/>
              </w:pBdr>
              <w:rPr>
                <w:rFonts w:ascii="Cambria" w:eastAsia="Cambria" w:hAnsi="Cambria" w:cs="Cambria"/>
                <w:bCs/>
              </w:rPr>
            </w:pPr>
            <w:r w:rsidRPr="00524ADE">
              <w:rPr>
                <w:rFonts w:ascii="Cambria" w:eastAsia="Cambria" w:hAnsi="Cambria" w:cs="Cambria"/>
                <w:bCs/>
              </w:rPr>
              <w:t>Explore public settings, such as markets and other public spaces</w:t>
            </w:r>
            <w:r>
              <w:rPr>
                <w:rFonts w:ascii="Cambria" w:eastAsia="Cambria" w:hAnsi="Cambria" w:cs="Cambria"/>
                <w:bCs/>
              </w:rPr>
              <w:t>,</w:t>
            </w:r>
            <w:r w:rsidRPr="00524ADE">
              <w:rPr>
                <w:rFonts w:ascii="Cambria" w:eastAsia="Cambria" w:hAnsi="Cambria" w:cs="Cambria"/>
                <w:bCs/>
              </w:rPr>
              <w:t xml:space="preserve"> to observe </w:t>
            </w:r>
            <w:r>
              <w:rPr>
                <w:rFonts w:ascii="Cambria" w:eastAsia="Cambria" w:hAnsi="Cambria" w:cs="Cambria"/>
                <w:bCs/>
              </w:rPr>
              <w:t xml:space="preserve">disability </w:t>
            </w:r>
            <w:r w:rsidRPr="00524ADE">
              <w:rPr>
                <w:rFonts w:ascii="Cambria" w:eastAsia="Cambria" w:hAnsi="Cambria" w:cs="Cambria"/>
                <w:bCs/>
              </w:rPr>
              <w:t>accessibility</w:t>
            </w:r>
            <w:r>
              <w:rPr>
                <w:rFonts w:ascii="Cambria" w:eastAsia="Cambria" w:hAnsi="Cambria" w:cs="Cambria"/>
                <w:bCs/>
              </w:rPr>
              <w:t xml:space="preserve"> and inclusion</w:t>
            </w:r>
            <w:r w:rsidRPr="00524ADE">
              <w:rPr>
                <w:rFonts w:ascii="Cambria" w:eastAsia="Cambria" w:hAnsi="Cambria" w:cs="Cambria"/>
                <w:bCs/>
              </w:rPr>
              <w:t xml:space="preserve"> options </w:t>
            </w:r>
          </w:p>
          <w:p w14:paraId="69218C7B" w14:textId="7FE20813" w:rsidR="007E66EF" w:rsidRPr="00646183" w:rsidRDefault="007E66EF" w:rsidP="000C766F">
            <w:pPr>
              <w:pStyle w:val="ListParagraph"/>
              <w:rPr>
                <w:rFonts w:ascii="Cambria" w:hAnsi="Cambria" w:cstheme="minorHAnsi"/>
              </w:rPr>
            </w:pPr>
          </w:p>
        </w:tc>
      </w:tr>
    </w:tbl>
    <w:p w14:paraId="72679D08" w14:textId="043B2767" w:rsidR="00A20EAF" w:rsidRPr="00D82DB0" w:rsidRDefault="00A20EAF" w:rsidP="00DF3C57">
      <w:pPr>
        <w:rPr>
          <w:rFonts w:ascii="Cambria" w:hAnsi="Cambria" w:cstheme="minorHAnsi"/>
          <w:b/>
          <w:bCs/>
        </w:rPr>
      </w:pPr>
    </w:p>
    <w:p w14:paraId="5307D5E4" w14:textId="27DCEC93" w:rsidR="003205EC" w:rsidRPr="00D82DB0" w:rsidRDefault="000A1A82" w:rsidP="00DF3C57">
      <w:pPr>
        <w:rPr>
          <w:rFonts w:ascii="Cambria" w:hAnsi="Cambria" w:cstheme="minorHAnsi"/>
        </w:rPr>
      </w:pPr>
      <w:r w:rsidRPr="00D82DB0">
        <w:rPr>
          <w:rFonts w:ascii="Cambria" w:hAnsi="Cambria" w:cstheme="minorHAnsi"/>
          <w:b/>
          <w:bCs/>
        </w:rPr>
        <w:t>Attendance Policy</w:t>
      </w:r>
      <w:r w:rsidRPr="00D82DB0">
        <w:rPr>
          <w:rFonts w:ascii="Cambria" w:hAnsi="Cambria" w:cstheme="minorHAnsi"/>
        </w:rPr>
        <w:t xml:space="preserve"> </w:t>
      </w:r>
    </w:p>
    <w:p w14:paraId="7B4452FA" w14:textId="2A0F492D" w:rsidR="0073595D" w:rsidRPr="00D82DB0" w:rsidRDefault="000A1A82" w:rsidP="00DF3C57">
      <w:pPr>
        <w:rPr>
          <w:rFonts w:ascii="Cambria" w:hAnsi="Cambria" w:cstheme="minorHAnsi"/>
        </w:rPr>
      </w:pPr>
      <w:r w:rsidRPr="00D82DB0">
        <w:rPr>
          <w:rFonts w:ascii="Cambria" w:hAnsi="Cambria" w:cstheme="minorHAnsi"/>
        </w:rPr>
        <w:t xml:space="preserve">Attendance is mandatory at all scheduled activities and class meetings as well as field trip excursions. </w:t>
      </w:r>
      <w:r w:rsidR="006B3762" w:rsidRPr="00D82DB0">
        <w:rPr>
          <w:rFonts w:ascii="Cambria" w:hAnsi="Cambria" w:cstheme="minorHAnsi"/>
        </w:rPr>
        <w:t xml:space="preserve">This includes </w:t>
      </w:r>
      <w:r w:rsidR="00443AA9" w:rsidRPr="00D82DB0">
        <w:rPr>
          <w:rFonts w:ascii="Cambria" w:hAnsi="Cambria" w:cstheme="minorHAnsi"/>
        </w:rPr>
        <w:t xml:space="preserve">any </w:t>
      </w:r>
      <w:r w:rsidR="00A46A29" w:rsidRPr="00D82DB0">
        <w:rPr>
          <w:rFonts w:ascii="Cambria" w:hAnsi="Cambria" w:cstheme="minorHAnsi"/>
        </w:rPr>
        <w:t>virtual meeting</w:t>
      </w:r>
      <w:r w:rsidR="00443AA9" w:rsidRPr="00D82DB0">
        <w:rPr>
          <w:rFonts w:ascii="Cambria" w:hAnsi="Cambria" w:cstheme="minorHAnsi"/>
        </w:rPr>
        <w:t>s</w:t>
      </w:r>
      <w:r w:rsidR="00A46A29" w:rsidRPr="00D82DB0">
        <w:rPr>
          <w:rFonts w:ascii="Cambria" w:hAnsi="Cambria" w:cstheme="minorHAnsi"/>
        </w:rPr>
        <w:t xml:space="preserve"> </w:t>
      </w:r>
      <w:r w:rsidR="006B3762" w:rsidRPr="00D82DB0">
        <w:rPr>
          <w:rFonts w:ascii="Cambria" w:hAnsi="Cambria" w:cstheme="minorHAnsi"/>
        </w:rPr>
        <w:t>before and after the onsite experience</w:t>
      </w:r>
      <w:r w:rsidR="001615DA" w:rsidRPr="00D82DB0">
        <w:rPr>
          <w:rFonts w:ascii="Cambria" w:hAnsi="Cambria" w:cstheme="minorHAnsi"/>
        </w:rPr>
        <w:t xml:space="preserve">. </w:t>
      </w:r>
      <w:r w:rsidR="00C366D1" w:rsidRPr="00D82DB0">
        <w:rPr>
          <w:rFonts w:ascii="Cambria" w:hAnsi="Cambria" w:cstheme="minorHAnsi"/>
        </w:rPr>
        <w:t>Repeated absences, including for ill health, will require documentation</w:t>
      </w:r>
      <w:r w:rsidR="001C0C37" w:rsidRPr="00D82DB0">
        <w:rPr>
          <w:rFonts w:ascii="Cambria" w:hAnsi="Cambria" w:cstheme="minorHAnsi"/>
        </w:rPr>
        <w:t xml:space="preserve"> to be excused</w:t>
      </w:r>
      <w:r w:rsidR="00C366D1" w:rsidRPr="00D82DB0">
        <w:rPr>
          <w:rFonts w:ascii="Cambria" w:hAnsi="Cambria" w:cstheme="minorHAnsi"/>
        </w:rPr>
        <w:t>.</w:t>
      </w:r>
    </w:p>
    <w:tbl>
      <w:tblPr>
        <w:tblStyle w:val="TableGrid"/>
        <w:tblW w:w="0" w:type="auto"/>
        <w:tblLook w:val="04A0" w:firstRow="1" w:lastRow="0" w:firstColumn="1" w:lastColumn="0" w:noHBand="0" w:noVBand="1"/>
      </w:tblPr>
      <w:tblGrid>
        <w:gridCol w:w="9350"/>
      </w:tblGrid>
      <w:tr w:rsidR="007E66EF" w:rsidRPr="00D82DB0" w14:paraId="200B61ED" w14:textId="77777777" w:rsidTr="007E66EF">
        <w:trPr>
          <w:trHeight w:val="1448"/>
        </w:trPr>
        <w:tc>
          <w:tcPr>
            <w:tcW w:w="9350" w:type="dxa"/>
          </w:tcPr>
          <w:p w14:paraId="2B596884" w14:textId="77777777" w:rsidR="007E66EF" w:rsidRPr="005660E7" w:rsidRDefault="007E66EF" w:rsidP="00DF3C57">
            <w:pPr>
              <w:rPr>
                <w:rFonts w:ascii="Cambria" w:hAnsi="Cambria" w:cstheme="minorHAnsi"/>
              </w:rPr>
            </w:pPr>
          </w:p>
        </w:tc>
      </w:tr>
    </w:tbl>
    <w:p w14:paraId="22E9CBE6" w14:textId="13D96433" w:rsidR="003443B9" w:rsidRPr="00D82DB0" w:rsidRDefault="003443B9" w:rsidP="00DF3C57">
      <w:pPr>
        <w:rPr>
          <w:rFonts w:ascii="Cambria" w:hAnsi="Cambria" w:cstheme="minorHAnsi"/>
          <w:b/>
          <w:bCs/>
        </w:rPr>
      </w:pPr>
    </w:p>
    <w:p w14:paraId="3738064A" w14:textId="130ACC0F" w:rsidR="000A1A82" w:rsidRPr="00D82DB0" w:rsidRDefault="000A1A82" w:rsidP="00DF3C57">
      <w:pPr>
        <w:rPr>
          <w:rFonts w:ascii="Cambria" w:hAnsi="Cambria" w:cstheme="minorHAnsi"/>
        </w:rPr>
      </w:pPr>
      <w:r w:rsidRPr="00D82DB0">
        <w:rPr>
          <w:rFonts w:ascii="Cambria" w:hAnsi="Cambria" w:cstheme="minorHAnsi"/>
          <w:b/>
          <w:bCs/>
        </w:rPr>
        <w:t>Academic Integrity Policy</w:t>
      </w:r>
    </w:p>
    <w:tbl>
      <w:tblPr>
        <w:tblStyle w:val="TableGrid"/>
        <w:tblW w:w="0" w:type="auto"/>
        <w:tblLook w:val="04A0" w:firstRow="1" w:lastRow="0" w:firstColumn="1" w:lastColumn="0" w:noHBand="0" w:noVBand="1"/>
      </w:tblPr>
      <w:tblGrid>
        <w:gridCol w:w="9350"/>
      </w:tblGrid>
      <w:tr w:rsidR="007E66EF" w:rsidRPr="00D82DB0" w14:paraId="512B7BF5" w14:textId="77777777" w:rsidTr="007E66EF">
        <w:trPr>
          <w:trHeight w:val="1169"/>
        </w:trPr>
        <w:tc>
          <w:tcPr>
            <w:tcW w:w="9350" w:type="dxa"/>
          </w:tcPr>
          <w:p w14:paraId="17CA910E" w14:textId="5E019D40" w:rsidR="007E66EF" w:rsidRPr="00D82DB0" w:rsidRDefault="000C766F" w:rsidP="00DF3C57">
            <w:pPr>
              <w:rPr>
                <w:rFonts w:ascii="Cambria" w:hAnsi="Cambria" w:cstheme="minorHAnsi"/>
              </w:rPr>
            </w:pPr>
            <w:r>
              <w:rPr>
                <w:rFonts w:ascii="Cambria" w:hAnsi="Cambria"/>
                <w:color w:val="000000"/>
              </w:rPr>
              <w:lastRenderedPageBreak/>
              <w:t>Plagiarism or other forms of academic dishonesty (see your campus student handbook for definitions) will not be tolerated and will result in failing assignment grades or even a course grade of F.  Violations of academic honesty will be reported back to student’s home campus.</w:t>
            </w:r>
          </w:p>
        </w:tc>
      </w:tr>
    </w:tbl>
    <w:p w14:paraId="009BC6FE" w14:textId="7D8C12BC" w:rsidR="00DC13D3" w:rsidRPr="00D82DB0" w:rsidRDefault="00DC13D3" w:rsidP="00DF3C57">
      <w:pPr>
        <w:rPr>
          <w:rFonts w:ascii="Cambria" w:hAnsi="Cambria" w:cstheme="minorHAnsi"/>
        </w:rPr>
      </w:pPr>
    </w:p>
    <w:p w14:paraId="2E1F9C55" w14:textId="6B857845" w:rsidR="000A1A82" w:rsidRPr="00D82DB0" w:rsidRDefault="000A1A82" w:rsidP="00DF3C57">
      <w:pPr>
        <w:rPr>
          <w:rFonts w:ascii="Cambria" w:hAnsi="Cambria" w:cstheme="minorHAnsi"/>
        </w:rPr>
      </w:pPr>
      <w:r w:rsidRPr="00D82DB0">
        <w:rPr>
          <w:rFonts w:ascii="Cambria" w:hAnsi="Cambria" w:cstheme="minorHAnsi"/>
          <w:b/>
          <w:bCs/>
        </w:rPr>
        <w:t>Physical Expectations</w:t>
      </w:r>
    </w:p>
    <w:p w14:paraId="66C7FCD9" w14:textId="051E2451" w:rsidR="00236936" w:rsidRPr="00D82DB0" w:rsidRDefault="006B2976" w:rsidP="00DF3C57">
      <w:pPr>
        <w:rPr>
          <w:rFonts w:ascii="Cambria" w:hAnsi="Cambria" w:cstheme="minorHAnsi"/>
        </w:rPr>
      </w:pPr>
      <w:r w:rsidRPr="00D82DB0">
        <w:rPr>
          <w:rFonts w:ascii="Cambria" w:hAnsi="Cambria" w:cstheme="minorHAnsi"/>
        </w:rPr>
        <w:t>Program requires walking</w:t>
      </w:r>
      <w:r w:rsidR="00753CBC" w:rsidRPr="00D82DB0">
        <w:rPr>
          <w:rFonts w:ascii="Cambria" w:hAnsi="Cambria" w:cstheme="minorHAnsi"/>
        </w:rPr>
        <w:t xml:space="preserve"> 3-5 miles per day on uneven pavement in all kinds of weather</w:t>
      </w:r>
      <w:r w:rsidR="00E434CA" w:rsidRPr="00D82DB0">
        <w:rPr>
          <w:rFonts w:ascii="Cambria" w:hAnsi="Cambria" w:cstheme="minorHAnsi"/>
        </w:rPr>
        <w:t xml:space="preserve"> and</w:t>
      </w:r>
      <w:r w:rsidR="00753CBC" w:rsidRPr="00D82DB0">
        <w:rPr>
          <w:rFonts w:ascii="Cambria" w:hAnsi="Cambria" w:cstheme="minorHAnsi"/>
        </w:rPr>
        <w:t xml:space="preserve"> long periods of standing.</w:t>
      </w:r>
      <w:r w:rsidR="009E2D64" w:rsidRPr="00D82DB0">
        <w:rPr>
          <w:rFonts w:ascii="Cambria" w:hAnsi="Cambria" w:cstheme="minorHAnsi"/>
        </w:rPr>
        <w:t xml:space="preserve"> Students must be able to carry their own bags and belongings.</w:t>
      </w:r>
    </w:p>
    <w:tbl>
      <w:tblPr>
        <w:tblStyle w:val="TableGrid"/>
        <w:tblW w:w="0" w:type="auto"/>
        <w:tblLook w:val="04A0" w:firstRow="1" w:lastRow="0" w:firstColumn="1" w:lastColumn="0" w:noHBand="0" w:noVBand="1"/>
      </w:tblPr>
      <w:tblGrid>
        <w:gridCol w:w="9350"/>
      </w:tblGrid>
      <w:tr w:rsidR="007E66EF" w:rsidRPr="00D82DB0" w14:paraId="197DC0A5" w14:textId="77777777" w:rsidTr="007E66EF">
        <w:trPr>
          <w:trHeight w:val="1358"/>
        </w:trPr>
        <w:tc>
          <w:tcPr>
            <w:tcW w:w="9350" w:type="dxa"/>
          </w:tcPr>
          <w:p w14:paraId="7E4433A2" w14:textId="77777777" w:rsidR="007E66EF" w:rsidRPr="005660E7" w:rsidRDefault="007E66EF" w:rsidP="00DF3C57">
            <w:pPr>
              <w:rPr>
                <w:rFonts w:ascii="Cambria" w:hAnsi="Cambria" w:cstheme="minorHAnsi"/>
              </w:rPr>
            </w:pPr>
          </w:p>
        </w:tc>
      </w:tr>
    </w:tbl>
    <w:p w14:paraId="286196CF" w14:textId="7B33C947" w:rsidR="00B05EA3" w:rsidRPr="00D82DB0" w:rsidRDefault="00B05EA3" w:rsidP="00DF3C57">
      <w:pPr>
        <w:rPr>
          <w:rFonts w:ascii="Cambria" w:hAnsi="Cambria" w:cstheme="minorHAnsi"/>
          <w:b/>
          <w:bCs/>
        </w:rPr>
      </w:pPr>
    </w:p>
    <w:p w14:paraId="3DFD1ACF" w14:textId="77777777" w:rsidR="00886BAC" w:rsidRPr="00D82DB0" w:rsidRDefault="000A1A82" w:rsidP="00DF3C57">
      <w:pPr>
        <w:rPr>
          <w:rFonts w:ascii="Cambria" w:hAnsi="Cambria" w:cstheme="minorHAnsi"/>
        </w:rPr>
      </w:pPr>
      <w:r w:rsidRPr="00D82DB0">
        <w:rPr>
          <w:rFonts w:ascii="Cambria" w:hAnsi="Cambria" w:cstheme="minorHAnsi"/>
          <w:b/>
          <w:bCs/>
        </w:rPr>
        <w:t>Disability Accommodation</w:t>
      </w:r>
    </w:p>
    <w:p w14:paraId="0DBD4605" w14:textId="66BFCAF5" w:rsidR="000A1A82" w:rsidRPr="00D82DB0" w:rsidRDefault="0003090F" w:rsidP="00DF3C57">
      <w:pPr>
        <w:rPr>
          <w:rFonts w:ascii="Cambria" w:hAnsi="Cambria" w:cstheme="minorHAnsi"/>
        </w:rPr>
      </w:pPr>
      <w:r w:rsidRPr="00D82DB0">
        <w:rPr>
          <w:rFonts w:ascii="Cambria" w:hAnsi="Cambria" w:cstheme="minorHAnsi"/>
        </w:rPr>
        <w:t xml:space="preserve">CCSA is committed to </w:t>
      </w:r>
      <w:r w:rsidR="00EB2037" w:rsidRPr="00D82DB0">
        <w:rPr>
          <w:rFonts w:ascii="Cambria" w:hAnsi="Cambria" w:cstheme="minorHAnsi"/>
        </w:rPr>
        <w:t xml:space="preserve">providing access to education abroad </w:t>
      </w:r>
      <w:r w:rsidR="00800F20" w:rsidRPr="00D82DB0">
        <w:rPr>
          <w:rFonts w:ascii="Cambria" w:hAnsi="Cambria" w:cstheme="minorHAnsi"/>
        </w:rPr>
        <w:t>to the extent possible in a study abroad setting</w:t>
      </w:r>
      <w:r w:rsidR="00EB2037" w:rsidRPr="00D82DB0">
        <w:rPr>
          <w:rFonts w:ascii="Cambria" w:hAnsi="Cambria" w:cstheme="minorHAnsi"/>
        </w:rPr>
        <w:t xml:space="preserve">. </w:t>
      </w:r>
      <w:r w:rsidR="003D6F2D" w:rsidRPr="00D82DB0">
        <w:rPr>
          <w:rFonts w:ascii="Cambria" w:hAnsi="Cambria" w:cstheme="minorHAnsi"/>
        </w:rPr>
        <w:t xml:space="preserve">The earlier </w:t>
      </w:r>
      <w:r w:rsidR="00335A01" w:rsidRPr="00D82DB0">
        <w:rPr>
          <w:rFonts w:ascii="Cambria" w:hAnsi="Cambria" w:cstheme="minorHAnsi"/>
        </w:rPr>
        <w:t>CCSA and the faculty</w:t>
      </w:r>
      <w:r w:rsidR="003D6F2D" w:rsidRPr="00D82DB0">
        <w:rPr>
          <w:rFonts w:ascii="Cambria" w:hAnsi="Cambria" w:cstheme="minorHAnsi"/>
        </w:rPr>
        <w:t xml:space="preserve"> know </w:t>
      </w:r>
      <w:r w:rsidR="00865304" w:rsidRPr="00D82DB0">
        <w:rPr>
          <w:rFonts w:ascii="Cambria" w:hAnsi="Cambria" w:cstheme="minorHAnsi"/>
        </w:rPr>
        <w:t xml:space="preserve">the </w:t>
      </w:r>
      <w:r w:rsidR="003D6F2D" w:rsidRPr="00D82DB0">
        <w:rPr>
          <w:rFonts w:ascii="Cambria" w:hAnsi="Cambria" w:cstheme="minorHAnsi"/>
        </w:rPr>
        <w:t>needs, the more likely we can accommodate them</w:t>
      </w:r>
      <w:r w:rsidR="00E27174" w:rsidRPr="00D82DB0">
        <w:rPr>
          <w:rFonts w:ascii="Cambria" w:hAnsi="Cambria" w:cstheme="minorHAnsi"/>
        </w:rPr>
        <w:t>. At a minimum</w:t>
      </w:r>
      <w:r w:rsidR="008F4F49" w:rsidRPr="00D82DB0">
        <w:rPr>
          <w:rFonts w:ascii="Cambria" w:hAnsi="Cambria" w:cstheme="minorHAnsi"/>
        </w:rPr>
        <w:t>,</w:t>
      </w:r>
      <w:r w:rsidR="00E27174" w:rsidRPr="00D82DB0">
        <w:rPr>
          <w:rFonts w:ascii="Cambria" w:hAnsi="Cambria" w:cstheme="minorHAnsi"/>
        </w:rPr>
        <w:t xml:space="preserve"> </w:t>
      </w:r>
      <w:r w:rsidR="008F4F49" w:rsidRPr="00D82DB0">
        <w:rPr>
          <w:rFonts w:ascii="Cambria" w:hAnsi="Cambria" w:cstheme="minorHAnsi"/>
        </w:rPr>
        <w:t xml:space="preserve">students </w:t>
      </w:r>
      <w:r w:rsidR="004E2DC0" w:rsidRPr="00D82DB0">
        <w:rPr>
          <w:rFonts w:ascii="Cambria" w:hAnsi="Cambria" w:cstheme="minorHAnsi"/>
        </w:rPr>
        <w:t xml:space="preserve">seeking accommodations </w:t>
      </w:r>
      <w:r w:rsidR="005F0A60" w:rsidRPr="00D82DB0">
        <w:rPr>
          <w:rFonts w:ascii="Cambria" w:hAnsi="Cambria" w:cstheme="minorHAnsi"/>
        </w:rPr>
        <w:t>are to contact both the CCSA office and the facul</w:t>
      </w:r>
      <w:r w:rsidR="004E2DC0" w:rsidRPr="00D82DB0">
        <w:rPr>
          <w:rFonts w:ascii="Cambria" w:hAnsi="Cambria" w:cstheme="minorHAnsi"/>
        </w:rPr>
        <w:t>t</w:t>
      </w:r>
      <w:r w:rsidR="005F0A60" w:rsidRPr="00D82DB0">
        <w:rPr>
          <w:rFonts w:ascii="Cambria" w:hAnsi="Cambria" w:cstheme="minorHAnsi"/>
        </w:rPr>
        <w:t>y</w:t>
      </w:r>
      <w:r w:rsidR="00F26120" w:rsidRPr="00D82DB0">
        <w:rPr>
          <w:rFonts w:ascii="Cambria" w:hAnsi="Cambria" w:cstheme="minorHAnsi"/>
        </w:rPr>
        <w:t xml:space="preserve"> one</w:t>
      </w:r>
      <w:r w:rsidR="000A1A82" w:rsidRPr="00D82DB0">
        <w:rPr>
          <w:rFonts w:ascii="Cambria" w:hAnsi="Cambria" w:cstheme="minorHAnsi"/>
        </w:rPr>
        <w:t xml:space="preserve"> month in advance of the program’s beginning</w:t>
      </w:r>
      <w:r w:rsidR="00865304" w:rsidRPr="00D82DB0">
        <w:rPr>
          <w:rFonts w:ascii="Cambria" w:hAnsi="Cambria" w:cstheme="minorHAnsi"/>
        </w:rPr>
        <w:t>. Students</w:t>
      </w:r>
      <w:r w:rsidR="000A1A82" w:rsidRPr="00D82DB0">
        <w:rPr>
          <w:rFonts w:ascii="Cambria" w:hAnsi="Cambria" w:cstheme="minorHAnsi"/>
        </w:rPr>
        <w:t xml:space="preserve"> seeking such accommodation must provide CCSA with a copy of the letter on file with their own Office of Disability Services outlining what services they receive on their home campus.</w:t>
      </w:r>
    </w:p>
    <w:p w14:paraId="33FF9B87" w14:textId="77777777" w:rsidR="00B14B1E" w:rsidRPr="00D82DB0" w:rsidRDefault="00B14B1E" w:rsidP="00EE29C7">
      <w:pPr>
        <w:rPr>
          <w:rFonts w:ascii="Cambria" w:hAnsi="Cambria" w:cstheme="minorHAnsi"/>
          <w:b/>
          <w:bCs/>
        </w:rPr>
      </w:pPr>
      <w:r w:rsidRPr="00D82DB0">
        <w:rPr>
          <w:rFonts w:ascii="Cambria" w:hAnsi="Cambria" w:cstheme="minorHAnsi"/>
          <w:b/>
          <w:bCs/>
        </w:rPr>
        <w:t>Title IX Policy</w:t>
      </w:r>
    </w:p>
    <w:p w14:paraId="71953BBB" w14:textId="24B3572C" w:rsidR="00B14B1E" w:rsidRPr="00D82DB0" w:rsidRDefault="00187063" w:rsidP="00EE29C7">
      <w:pPr>
        <w:rPr>
          <w:rFonts w:ascii="Cambria" w:hAnsi="Cambria" w:cstheme="minorHAnsi"/>
        </w:rPr>
      </w:pPr>
      <w:r w:rsidRPr="00D82DB0">
        <w:rPr>
          <w:rFonts w:ascii="Cambria" w:hAnsi="Cambria" w:cstheme="minorHAnsi"/>
        </w:rPr>
        <w:t xml:space="preserve">Sexual misconduct (including sexual harassment, sexual assault, and any nonconsensual behavior of a sexual nature) and sexual discrimination violate CCSA policies. Students experiencing such behavior may obtain support from the </w:t>
      </w:r>
      <w:r w:rsidR="001B21C2" w:rsidRPr="00D82DB0">
        <w:rPr>
          <w:rFonts w:ascii="Cambria" w:hAnsi="Cambria" w:cstheme="minorHAnsi"/>
        </w:rPr>
        <w:t xml:space="preserve">Onsite </w:t>
      </w:r>
      <w:r w:rsidRPr="00D82DB0">
        <w:rPr>
          <w:rFonts w:ascii="Cambria" w:hAnsi="Cambria" w:cstheme="minorHAnsi"/>
        </w:rPr>
        <w:t>Program Director or the CCSA Executive Director. To report sexual misconduct or sex discrimination, contact either of these two officers. Disclosure to faculty instructors or CCSA officers of sexual misconduct, domestic violence, dating violence, or sex discrimination occurring on the program or involving a visitor, student or employee is not confidential under Title IX. Faculty and other CCSA employees are required to forward such reports, including names and circumstances, to the CCSA Executive Director.</w:t>
      </w:r>
    </w:p>
    <w:p w14:paraId="3D7A9BC6" w14:textId="77777777" w:rsidR="0055257B" w:rsidRPr="00D82DB0" w:rsidRDefault="0055257B" w:rsidP="0055257B">
      <w:pPr>
        <w:rPr>
          <w:rFonts w:ascii="Cambria" w:hAnsi="Cambria" w:cstheme="minorHAnsi"/>
        </w:rPr>
      </w:pPr>
      <w:bookmarkStart w:id="0" w:name="_Hlk176617282"/>
      <w:r w:rsidRPr="00D82DB0">
        <w:rPr>
          <w:rFonts w:ascii="Cambria" w:hAnsi="Cambria" w:cstheme="minorHAnsi"/>
          <w:b/>
          <w:bCs/>
        </w:rPr>
        <w:t>Statement about Final Syllabus</w:t>
      </w:r>
    </w:p>
    <w:bookmarkEnd w:id="0"/>
    <w:p w14:paraId="23B6BDEB" w14:textId="69F163A3" w:rsidR="0055257B" w:rsidRPr="00D82DB0" w:rsidRDefault="0055257B" w:rsidP="0055257B">
      <w:pPr>
        <w:rPr>
          <w:rFonts w:ascii="Cambria" w:hAnsi="Cambria" w:cstheme="minorHAnsi"/>
        </w:rPr>
      </w:pPr>
      <w:r w:rsidRPr="00D82DB0">
        <w:rPr>
          <w:rFonts w:ascii="Cambria" w:hAnsi="Cambria" w:cstheme="minorHAnsi"/>
        </w:rPr>
        <w:t xml:space="preserve">Please note that all CCSA syllabi are subject to change, but every effort </w:t>
      </w:r>
      <w:r w:rsidR="00E434CA" w:rsidRPr="00D82DB0">
        <w:rPr>
          <w:rFonts w:ascii="Cambria" w:hAnsi="Cambria" w:cstheme="minorHAnsi"/>
        </w:rPr>
        <w:t xml:space="preserve">will be made </w:t>
      </w:r>
      <w:r w:rsidRPr="00D82DB0">
        <w:rPr>
          <w:rFonts w:ascii="Cambria" w:hAnsi="Cambria" w:cstheme="minorHAnsi"/>
        </w:rPr>
        <w:t>to ensure participants receive notice of such changes in a timely manner.</w:t>
      </w:r>
    </w:p>
    <w:p w14:paraId="2D11FA89" w14:textId="77777777" w:rsidR="000A1A82" w:rsidRPr="00D82DB0" w:rsidRDefault="000A1A82" w:rsidP="00DF3C57">
      <w:pPr>
        <w:rPr>
          <w:rFonts w:ascii="Cambria" w:hAnsi="Cambria" w:cstheme="minorHAnsi"/>
        </w:rPr>
      </w:pPr>
    </w:p>
    <w:sectPr w:rsidR="000A1A82" w:rsidRPr="00D82DB0">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E2AE" w14:textId="77777777" w:rsidR="00810731" w:rsidRDefault="00810731" w:rsidP="000A1A82">
      <w:pPr>
        <w:spacing w:after="0" w:line="240" w:lineRule="auto"/>
      </w:pPr>
      <w:r>
        <w:separator/>
      </w:r>
    </w:p>
  </w:endnote>
  <w:endnote w:type="continuationSeparator" w:id="0">
    <w:p w14:paraId="69FA7F0A" w14:textId="77777777" w:rsidR="00810731" w:rsidRDefault="00810731" w:rsidP="000A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2831" w14:textId="77777777" w:rsidR="00810731" w:rsidRDefault="00810731" w:rsidP="000A1A82">
      <w:pPr>
        <w:spacing w:after="0" w:line="240" w:lineRule="auto"/>
      </w:pPr>
      <w:r>
        <w:separator/>
      </w:r>
    </w:p>
  </w:footnote>
  <w:footnote w:type="continuationSeparator" w:id="0">
    <w:p w14:paraId="087D4013" w14:textId="77777777" w:rsidR="00810731" w:rsidRDefault="00810731" w:rsidP="000A1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139B" w14:textId="20ED1E99" w:rsidR="000A1A82" w:rsidRPr="00443AA9" w:rsidRDefault="000A1A82" w:rsidP="00443AA9">
    <w:pPr>
      <w:pBdr>
        <w:top w:val="nil"/>
        <w:left w:val="nil"/>
        <w:bottom w:val="nil"/>
        <w:right w:val="nil"/>
        <w:between w:val="nil"/>
      </w:pBdr>
      <w:spacing w:after="0"/>
      <w:rPr>
        <w:rFonts w:ascii="Cambria" w:eastAsia="Cambria" w:hAnsi="Cambria" w:cs="Cambria"/>
        <w:b/>
        <w:sz w:val="40"/>
        <w:szCs w:val="40"/>
      </w:rPr>
    </w:pPr>
    <w:r>
      <w:rPr>
        <w:noProof/>
      </w:rPr>
      <w:drawing>
        <wp:anchor distT="0" distB="0" distL="114300" distR="114300" simplePos="0" relativeHeight="251658240" behindDoc="0" locked="0" layoutInCell="1" allowOverlap="1" wp14:anchorId="1F4CEB0E" wp14:editId="7181E0A3">
          <wp:simplePos x="0" y="0"/>
          <wp:positionH relativeFrom="column">
            <wp:posOffset>0</wp:posOffset>
          </wp:positionH>
          <wp:positionV relativeFrom="paragraph">
            <wp:posOffset>0</wp:posOffset>
          </wp:positionV>
          <wp:extent cx="844550" cy="339177"/>
          <wp:effectExtent l="0" t="0" r="0" b="3810"/>
          <wp:wrapSquare wrapText="bothSides"/>
          <wp:docPr id="145157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1325" b="28514"/>
                  <a:stretch/>
                </pic:blipFill>
                <pic:spPr bwMode="auto">
                  <a:xfrm>
                    <a:off x="0" y="0"/>
                    <a:ext cx="844550" cy="339177"/>
                  </a:xfrm>
                  <a:prstGeom prst="rect">
                    <a:avLst/>
                  </a:prstGeom>
                  <a:noFill/>
                  <a:ln>
                    <a:noFill/>
                  </a:ln>
                  <a:extLst>
                    <a:ext uri="{53640926-AAD7-44D8-BBD7-CCE9431645EC}">
                      <a14:shadowObscured xmlns:a14="http://schemas.microsoft.com/office/drawing/2010/main"/>
                    </a:ext>
                  </a:extLst>
                </pic:spPr>
              </pic:pic>
            </a:graphicData>
          </a:graphic>
        </wp:anchor>
      </w:drawing>
    </w:r>
    <w:r w:rsidR="0027533B">
      <w:rPr>
        <w:rFonts w:ascii="Cambria" w:eastAsia="Cambria" w:hAnsi="Cambria" w:cs="Cambria"/>
        <w:b/>
        <w:sz w:val="40"/>
        <w:szCs w:val="40"/>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F94"/>
    <w:multiLevelType w:val="hybridMultilevel"/>
    <w:tmpl w:val="EC52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A5FB3"/>
    <w:multiLevelType w:val="hybridMultilevel"/>
    <w:tmpl w:val="24321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396A"/>
    <w:multiLevelType w:val="hybridMultilevel"/>
    <w:tmpl w:val="C5F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92F91"/>
    <w:multiLevelType w:val="hybridMultilevel"/>
    <w:tmpl w:val="0098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52D24"/>
    <w:multiLevelType w:val="hybridMultilevel"/>
    <w:tmpl w:val="0FB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F4B26"/>
    <w:multiLevelType w:val="hybridMultilevel"/>
    <w:tmpl w:val="67FC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A4F21"/>
    <w:multiLevelType w:val="hybridMultilevel"/>
    <w:tmpl w:val="F8C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0586E"/>
    <w:multiLevelType w:val="hybridMultilevel"/>
    <w:tmpl w:val="76E6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726DF"/>
    <w:multiLevelType w:val="hybridMultilevel"/>
    <w:tmpl w:val="CB146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F34DD"/>
    <w:multiLevelType w:val="hybridMultilevel"/>
    <w:tmpl w:val="5C24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A6092"/>
    <w:multiLevelType w:val="hybridMultilevel"/>
    <w:tmpl w:val="110E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9223">
    <w:abstractNumId w:val="10"/>
  </w:num>
  <w:num w:numId="2" w16cid:durableId="818689310">
    <w:abstractNumId w:val="1"/>
  </w:num>
  <w:num w:numId="3" w16cid:durableId="190996228">
    <w:abstractNumId w:val="8"/>
  </w:num>
  <w:num w:numId="4" w16cid:durableId="981160788">
    <w:abstractNumId w:val="2"/>
  </w:num>
  <w:num w:numId="5" w16cid:durableId="1670057042">
    <w:abstractNumId w:val="6"/>
  </w:num>
  <w:num w:numId="6" w16cid:durableId="2135055939">
    <w:abstractNumId w:val="0"/>
  </w:num>
  <w:num w:numId="7" w16cid:durableId="1147667886">
    <w:abstractNumId w:val="3"/>
  </w:num>
  <w:num w:numId="8" w16cid:durableId="1070496620">
    <w:abstractNumId w:val="5"/>
  </w:num>
  <w:num w:numId="9" w16cid:durableId="1997227149">
    <w:abstractNumId w:val="4"/>
  </w:num>
  <w:num w:numId="10" w16cid:durableId="362051624">
    <w:abstractNumId w:val="9"/>
  </w:num>
  <w:num w:numId="11" w16cid:durableId="1145973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2"/>
    <w:rsid w:val="000115A1"/>
    <w:rsid w:val="0003090F"/>
    <w:rsid w:val="00033919"/>
    <w:rsid w:val="00037464"/>
    <w:rsid w:val="00041CB9"/>
    <w:rsid w:val="000424AB"/>
    <w:rsid w:val="00050BC5"/>
    <w:rsid w:val="0006398A"/>
    <w:rsid w:val="00076303"/>
    <w:rsid w:val="000A1889"/>
    <w:rsid w:val="000A1A82"/>
    <w:rsid w:val="000C766F"/>
    <w:rsid w:val="000D4130"/>
    <w:rsid w:val="000F4687"/>
    <w:rsid w:val="000F5590"/>
    <w:rsid w:val="0010277D"/>
    <w:rsid w:val="001052D6"/>
    <w:rsid w:val="0013627D"/>
    <w:rsid w:val="00136F44"/>
    <w:rsid w:val="001615DA"/>
    <w:rsid w:val="00182C7F"/>
    <w:rsid w:val="001830A6"/>
    <w:rsid w:val="00187063"/>
    <w:rsid w:val="00193A34"/>
    <w:rsid w:val="001B21C2"/>
    <w:rsid w:val="001B2681"/>
    <w:rsid w:val="001C0C37"/>
    <w:rsid w:val="001D6E3D"/>
    <w:rsid w:val="001E6C51"/>
    <w:rsid w:val="00205697"/>
    <w:rsid w:val="002075EC"/>
    <w:rsid w:val="00212D61"/>
    <w:rsid w:val="00214EE0"/>
    <w:rsid w:val="00227910"/>
    <w:rsid w:val="00236936"/>
    <w:rsid w:val="00253622"/>
    <w:rsid w:val="0025703F"/>
    <w:rsid w:val="002614D9"/>
    <w:rsid w:val="0027533B"/>
    <w:rsid w:val="00287DE0"/>
    <w:rsid w:val="002953A7"/>
    <w:rsid w:val="002C6F89"/>
    <w:rsid w:val="002E0477"/>
    <w:rsid w:val="002E1E98"/>
    <w:rsid w:val="00301A8F"/>
    <w:rsid w:val="00302BD2"/>
    <w:rsid w:val="00303491"/>
    <w:rsid w:val="003205EC"/>
    <w:rsid w:val="00335A01"/>
    <w:rsid w:val="003443B9"/>
    <w:rsid w:val="00395B59"/>
    <w:rsid w:val="003A02C0"/>
    <w:rsid w:val="003C049C"/>
    <w:rsid w:val="003C688F"/>
    <w:rsid w:val="003D6F2D"/>
    <w:rsid w:val="00442AA0"/>
    <w:rsid w:val="00443AA9"/>
    <w:rsid w:val="00445BED"/>
    <w:rsid w:val="00450006"/>
    <w:rsid w:val="0045309C"/>
    <w:rsid w:val="00461F06"/>
    <w:rsid w:val="00472BF9"/>
    <w:rsid w:val="0047344E"/>
    <w:rsid w:val="0047585B"/>
    <w:rsid w:val="004E2DC0"/>
    <w:rsid w:val="00522339"/>
    <w:rsid w:val="005226CA"/>
    <w:rsid w:val="00524822"/>
    <w:rsid w:val="00534F31"/>
    <w:rsid w:val="0054115B"/>
    <w:rsid w:val="0055257B"/>
    <w:rsid w:val="005555C5"/>
    <w:rsid w:val="005660E7"/>
    <w:rsid w:val="005C2E68"/>
    <w:rsid w:val="005C36F8"/>
    <w:rsid w:val="005D4E4D"/>
    <w:rsid w:val="005D7667"/>
    <w:rsid w:val="005F0A09"/>
    <w:rsid w:val="005F0A60"/>
    <w:rsid w:val="005F5155"/>
    <w:rsid w:val="00626B23"/>
    <w:rsid w:val="00634302"/>
    <w:rsid w:val="0064486E"/>
    <w:rsid w:val="00646183"/>
    <w:rsid w:val="00683517"/>
    <w:rsid w:val="0069280A"/>
    <w:rsid w:val="006928AF"/>
    <w:rsid w:val="00693427"/>
    <w:rsid w:val="00694D38"/>
    <w:rsid w:val="006B2918"/>
    <w:rsid w:val="006B2976"/>
    <w:rsid w:val="006B3762"/>
    <w:rsid w:val="006B663A"/>
    <w:rsid w:val="006C72A1"/>
    <w:rsid w:val="006D28D4"/>
    <w:rsid w:val="006D6A8D"/>
    <w:rsid w:val="006F12D6"/>
    <w:rsid w:val="006F6A77"/>
    <w:rsid w:val="00700C8E"/>
    <w:rsid w:val="00706022"/>
    <w:rsid w:val="0071374F"/>
    <w:rsid w:val="00721130"/>
    <w:rsid w:val="007264E2"/>
    <w:rsid w:val="0073595D"/>
    <w:rsid w:val="00747F99"/>
    <w:rsid w:val="00753CBC"/>
    <w:rsid w:val="007572CF"/>
    <w:rsid w:val="007745F6"/>
    <w:rsid w:val="00785AA3"/>
    <w:rsid w:val="00796885"/>
    <w:rsid w:val="007A48F9"/>
    <w:rsid w:val="007B22A3"/>
    <w:rsid w:val="007B3AD5"/>
    <w:rsid w:val="007C3D0A"/>
    <w:rsid w:val="007D05F6"/>
    <w:rsid w:val="007E66EF"/>
    <w:rsid w:val="00800F20"/>
    <w:rsid w:val="00806FE5"/>
    <w:rsid w:val="00810731"/>
    <w:rsid w:val="008109C7"/>
    <w:rsid w:val="00852844"/>
    <w:rsid w:val="00865304"/>
    <w:rsid w:val="00880D84"/>
    <w:rsid w:val="008821D0"/>
    <w:rsid w:val="00886BAC"/>
    <w:rsid w:val="008A1514"/>
    <w:rsid w:val="008A3833"/>
    <w:rsid w:val="008A6924"/>
    <w:rsid w:val="008B1B37"/>
    <w:rsid w:val="008D170A"/>
    <w:rsid w:val="008F4F49"/>
    <w:rsid w:val="008F7781"/>
    <w:rsid w:val="008F7F57"/>
    <w:rsid w:val="0090192F"/>
    <w:rsid w:val="00910BC5"/>
    <w:rsid w:val="00912006"/>
    <w:rsid w:val="00912EDC"/>
    <w:rsid w:val="00942350"/>
    <w:rsid w:val="00955DBA"/>
    <w:rsid w:val="00990467"/>
    <w:rsid w:val="009917F4"/>
    <w:rsid w:val="009A699E"/>
    <w:rsid w:val="009C0E5B"/>
    <w:rsid w:val="009C48A1"/>
    <w:rsid w:val="009E2D64"/>
    <w:rsid w:val="009E6E7C"/>
    <w:rsid w:val="009E7F93"/>
    <w:rsid w:val="009F3B84"/>
    <w:rsid w:val="00A125FD"/>
    <w:rsid w:val="00A132C0"/>
    <w:rsid w:val="00A20EAF"/>
    <w:rsid w:val="00A46A29"/>
    <w:rsid w:val="00A704DF"/>
    <w:rsid w:val="00A7130E"/>
    <w:rsid w:val="00A713E7"/>
    <w:rsid w:val="00A90EA7"/>
    <w:rsid w:val="00A96E71"/>
    <w:rsid w:val="00AA59A2"/>
    <w:rsid w:val="00AB115D"/>
    <w:rsid w:val="00AD3182"/>
    <w:rsid w:val="00AE1BE1"/>
    <w:rsid w:val="00B05EA3"/>
    <w:rsid w:val="00B14B1E"/>
    <w:rsid w:val="00B14D7C"/>
    <w:rsid w:val="00B2306F"/>
    <w:rsid w:val="00B3379B"/>
    <w:rsid w:val="00B33DCC"/>
    <w:rsid w:val="00B40B00"/>
    <w:rsid w:val="00B64447"/>
    <w:rsid w:val="00B745AD"/>
    <w:rsid w:val="00B803CC"/>
    <w:rsid w:val="00B97A33"/>
    <w:rsid w:val="00BB72BB"/>
    <w:rsid w:val="00BC2015"/>
    <w:rsid w:val="00BC3AA6"/>
    <w:rsid w:val="00BD7B25"/>
    <w:rsid w:val="00BE199D"/>
    <w:rsid w:val="00BF1229"/>
    <w:rsid w:val="00C14B33"/>
    <w:rsid w:val="00C21736"/>
    <w:rsid w:val="00C358C0"/>
    <w:rsid w:val="00C366D1"/>
    <w:rsid w:val="00C45F51"/>
    <w:rsid w:val="00C524BF"/>
    <w:rsid w:val="00C57CB9"/>
    <w:rsid w:val="00C7457F"/>
    <w:rsid w:val="00CA357A"/>
    <w:rsid w:val="00CA472F"/>
    <w:rsid w:val="00CC0916"/>
    <w:rsid w:val="00CC721F"/>
    <w:rsid w:val="00CD2C17"/>
    <w:rsid w:val="00CF643C"/>
    <w:rsid w:val="00D21099"/>
    <w:rsid w:val="00D24A19"/>
    <w:rsid w:val="00D27D29"/>
    <w:rsid w:val="00D43423"/>
    <w:rsid w:val="00D509DB"/>
    <w:rsid w:val="00D514AF"/>
    <w:rsid w:val="00D623A9"/>
    <w:rsid w:val="00D62E10"/>
    <w:rsid w:val="00D65634"/>
    <w:rsid w:val="00D659C2"/>
    <w:rsid w:val="00D82DB0"/>
    <w:rsid w:val="00D844F0"/>
    <w:rsid w:val="00DC104D"/>
    <w:rsid w:val="00DC13D3"/>
    <w:rsid w:val="00DC6670"/>
    <w:rsid w:val="00DD4575"/>
    <w:rsid w:val="00DE350E"/>
    <w:rsid w:val="00DE7162"/>
    <w:rsid w:val="00DF3C57"/>
    <w:rsid w:val="00DF452B"/>
    <w:rsid w:val="00E27174"/>
    <w:rsid w:val="00E2779B"/>
    <w:rsid w:val="00E434CA"/>
    <w:rsid w:val="00E709BF"/>
    <w:rsid w:val="00E72127"/>
    <w:rsid w:val="00EA22F2"/>
    <w:rsid w:val="00EA28D7"/>
    <w:rsid w:val="00EA3F03"/>
    <w:rsid w:val="00EA6E19"/>
    <w:rsid w:val="00EB2037"/>
    <w:rsid w:val="00EE29C7"/>
    <w:rsid w:val="00F00196"/>
    <w:rsid w:val="00F26120"/>
    <w:rsid w:val="00F30971"/>
    <w:rsid w:val="00F43990"/>
    <w:rsid w:val="00F4631B"/>
    <w:rsid w:val="00F72EE2"/>
    <w:rsid w:val="00F7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2663"/>
  <w15:chartTrackingRefBased/>
  <w15:docId w15:val="{7B5D226B-12D7-4F2F-A6D1-F76626F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82"/>
  </w:style>
  <w:style w:type="paragraph" w:styleId="Footer">
    <w:name w:val="footer"/>
    <w:basedOn w:val="Normal"/>
    <w:link w:val="FooterChar"/>
    <w:uiPriority w:val="99"/>
    <w:unhideWhenUsed/>
    <w:rsid w:val="000A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82"/>
  </w:style>
  <w:style w:type="character" w:styleId="PlaceholderText">
    <w:name w:val="Placeholder Text"/>
    <w:basedOn w:val="DefaultParagraphFont"/>
    <w:uiPriority w:val="99"/>
    <w:semiHidden/>
    <w:rsid w:val="00214EE0"/>
    <w:rPr>
      <w:color w:val="666666"/>
    </w:rPr>
  </w:style>
  <w:style w:type="character" w:styleId="CommentReference">
    <w:name w:val="annotation reference"/>
    <w:basedOn w:val="DefaultParagraphFont"/>
    <w:uiPriority w:val="99"/>
    <w:semiHidden/>
    <w:unhideWhenUsed/>
    <w:rsid w:val="00955DBA"/>
    <w:rPr>
      <w:sz w:val="16"/>
      <w:szCs w:val="16"/>
    </w:rPr>
  </w:style>
  <w:style w:type="paragraph" w:styleId="CommentText">
    <w:name w:val="annotation text"/>
    <w:basedOn w:val="Normal"/>
    <w:link w:val="CommentTextChar"/>
    <w:uiPriority w:val="99"/>
    <w:semiHidden/>
    <w:unhideWhenUsed/>
    <w:rsid w:val="00955DBA"/>
    <w:pPr>
      <w:spacing w:line="240" w:lineRule="auto"/>
    </w:pPr>
    <w:rPr>
      <w:sz w:val="20"/>
      <w:szCs w:val="20"/>
    </w:rPr>
  </w:style>
  <w:style w:type="character" w:customStyle="1" w:styleId="CommentTextChar">
    <w:name w:val="Comment Text Char"/>
    <w:basedOn w:val="DefaultParagraphFont"/>
    <w:link w:val="CommentText"/>
    <w:uiPriority w:val="99"/>
    <w:semiHidden/>
    <w:rsid w:val="00955DBA"/>
    <w:rPr>
      <w:sz w:val="20"/>
      <w:szCs w:val="20"/>
    </w:rPr>
  </w:style>
  <w:style w:type="paragraph" w:styleId="CommentSubject">
    <w:name w:val="annotation subject"/>
    <w:basedOn w:val="CommentText"/>
    <w:next w:val="CommentText"/>
    <w:link w:val="CommentSubjectChar"/>
    <w:uiPriority w:val="99"/>
    <w:semiHidden/>
    <w:unhideWhenUsed/>
    <w:rsid w:val="00955DBA"/>
    <w:rPr>
      <w:b/>
      <w:bCs/>
    </w:rPr>
  </w:style>
  <w:style w:type="character" w:customStyle="1" w:styleId="CommentSubjectChar">
    <w:name w:val="Comment Subject Char"/>
    <w:basedOn w:val="CommentTextChar"/>
    <w:link w:val="CommentSubject"/>
    <w:uiPriority w:val="99"/>
    <w:semiHidden/>
    <w:rsid w:val="00955DBA"/>
    <w:rPr>
      <w:b/>
      <w:bCs/>
      <w:sz w:val="20"/>
      <w:szCs w:val="20"/>
    </w:rPr>
  </w:style>
  <w:style w:type="paragraph" w:styleId="ListParagraph">
    <w:name w:val="List Paragraph"/>
    <w:basedOn w:val="Normal"/>
    <w:uiPriority w:val="34"/>
    <w:qFormat/>
    <w:rsid w:val="00076303"/>
    <w:pPr>
      <w:ind w:left="720"/>
      <w:contextualSpacing/>
    </w:pPr>
  </w:style>
  <w:style w:type="table" w:styleId="TableGrid">
    <w:name w:val="Table Grid"/>
    <w:basedOn w:val="TableNormal"/>
    <w:uiPriority w:val="39"/>
    <w:rsid w:val="007E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43C"/>
    <w:rPr>
      <w:color w:val="0563C1" w:themeColor="hyperlink"/>
      <w:u w:val="single"/>
    </w:rPr>
  </w:style>
  <w:style w:type="character" w:styleId="UnresolvedMention">
    <w:name w:val="Unresolved Mention"/>
    <w:basedOn w:val="DefaultParagraphFont"/>
    <w:uiPriority w:val="99"/>
    <w:semiHidden/>
    <w:unhideWhenUsed/>
    <w:rsid w:val="00CF643C"/>
    <w:rPr>
      <w:color w:val="605E5C"/>
      <w:shd w:val="clear" w:color="auto" w:fill="E1DFDD"/>
    </w:rPr>
  </w:style>
  <w:style w:type="paragraph" w:styleId="NormalWeb">
    <w:name w:val="Normal (Web)"/>
    <w:basedOn w:val="Normal"/>
    <w:uiPriority w:val="99"/>
    <w:unhideWhenUsed/>
    <w:rsid w:val="007060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034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7113">
      <w:bodyDiv w:val="1"/>
      <w:marLeft w:val="0"/>
      <w:marRight w:val="0"/>
      <w:marTop w:val="0"/>
      <w:marBottom w:val="0"/>
      <w:divBdr>
        <w:top w:val="none" w:sz="0" w:space="0" w:color="auto"/>
        <w:left w:val="none" w:sz="0" w:space="0" w:color="auto"/>
        <w:bottom w:val="none" w:sz="0" w:space="0" w:color="auto"/>
        <w:right w:val="none" w:sz="0" w:space="0" w:color="auto"/>
      </w:divBdr>
    </w:div>
    <w:div w:id="520044951">
      <w:bodyDiv w:val="1"/>
      <w:marLeft w:val="0"/>
      <w:marRight w:val="0"/>
      <w:marTop w:val="0"/>
      <w:marBottom w:val="0"/>
      <w:divBdr>
        <w:top w:val="none" w:sz="0" w:space="0" w:color="auto"/>
        <w:left w:val="none" w:sz="0" w:space="0" w:color="auto"/>
        <w:bottom w:val="none" w:sz="0" w:space="0" w:color="auto"/>
        <w:right w:val="none" w:sz="0" w:space="0" w:color="auto"/>
      </w:divBdr>
    </w:div>
    <w:div w:id="1054237179">
      <w:bodyDiv w:val="1"/>
      <w:marLeft w:val="0"/>
      <w:marRight w:val="0"/>
      <w:marTop w:val="0"/>
      <w:marBottom w:val="0"/>
      <w:divBdr>
        <w:top w:val="none" w:sz="0" w:space="0" w:color="auto"/>
        <w:left w:val="none" w:sz="0" w:space="0" w:color="auto"/>
        <w:bottom w:val="none" w:sz="0" w:space="0" w:color="auto"/>
        <w:right w:val="none" w:sz="0" w:space="0" w:color="auto"/>
      </w:divBdr>
      <w:divsChild>
        <w:div w:id="49886943">
          <w:marLeft w:val="0"/>
          <w:marRight w:val="0"/>
          <w:marTop w:val="0"/>
          <w:marBottom w:val="0"/>
          <w:divBdr>
            <w:top w:val="none" w:sz="0" w:space="0" w:color="auto"/>
            <w:left w:val="none" w:sz="0" w:space="0" w:color="auto"/>
            <w:bottom w:val="none" w:sz="0" w:space="0" w:color="auto"/>
            <w:right w:val="none" w:sz="0" w:space="0" w:color="auto"/>
          </w:divBdr>
        </w:div>
        <w:div w:id="357313844">
          <w:marLeft w:val="0"/>
          <w:marRight w:val="0"/>
          <w:marTop w:val="0"/>
          <w:marBottom w:val="0"/>
          <w:divBdr>
            <w:top w:val="none" w:sz="0" w:space="0" w:color="auto"/>
            <w:left w:val="none" w:sz="0" w:space="0" w:color="auto"/>
            <w:bottom w:val="none" w:sz="0" w:space="0" w:color="auto"/>
            <w:right w:val="none" w:sz="0" w:space="0" w:color="auto"/>
          </w:divBdr>
        </w:div>
        <w:div w:id="802233708">
          <w:marLeft w:val="0"/>
          <w:marRight w:val="0"/>
          <w:marTop w:val="0"/>
          <w:marBottom w:val="0"/>
          <w:divBdr>
            <w:top w:val="none" w:sz="0" w:space="0" w:color="auto"/>
            <w:left w:val="none" w:sz="0" w:space="0" w:color="auto"/>
            <w:bottom w:val="none" w:sz="0" w:space="0" w:color="auto"/>
            <w:right w:val="none" w:sz="0" w:space="0" w:color="auto"/>
          </w:divBdr>
        </w:div>
      </w:divsChild>
    </w:div>
    <w:div w:id="19451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krilem/Desktop/&#8226;%09https:/udlguidelines.cast.org/static/udlg3-graphicorganizer-digital-nonumbers-a11y.pdf" TargetMode="External"/><Relationship Id="rId13" Type="http://schemas.openxmlformats.org/officeDocument/2006/relationships/hyperlink" Target="https://www.nccd.edu.au/sites/default/files/categories_of_disability.pdf" TargetMode="External"/><Relationship Id="rId18" Type="http://schemas.openxmlformats.org/officeDocument/2006/relationships/hyperlink" Target="https://humanrights.gov.au/our-work/disability-rights/action-plans-and-action-plan-guides" TargetMode="External"/><Relationship Id="rId3" Type="http://schemas.openxmlformats.org/officeDocument/2006/relationships/settings" Target="settings.xml"/><Relationship Id="rId21" Type="http://schemas.openxmlformats.org/officeDocument/2006/relationships/hyperlink" Target="https://nga.gov.au/media/dd/documents/National_Gallery_Disability_Inclusion_Action_Plan_2022_accessible.pdf" TargetMode="External"/><Relationship Id="rId7" Type="http://schemas.openxmlformats.org/officeDocument/2006/relationships/hyperlink" Target="mailto:maryjo.krile@eku.edu" TargetMode="External"/><Relationship Id="rId12" Type="http://schemas.openxmlformats.org/officeDocument/2006/relationships/hyperlink" Target="https://www.youtube.com/watch?v=n12GCLQsSRw" TargetMode="External"/><Relationship Id="rId17" Type="http://schemas.openxmlformats.org/officeDocument/2006/relationships/hyperlink" Target="https://www.acecqa.gov.au/sites/default/files/2022-09/DDA_InfoSheet_ProvidersStaff.pdf" TargetMode="External"/><Relationship Id="rId2" Type="http://schemas.openxmlformats.org/officeDocument/2006/relationships/styles" Target="styles.xml"/><Relationship Id="rId16" Type="http://schemas.openxmlformats.org/officeDocument/2006/relationships/hyperlink" Target="file:///Users/krilem/Desktop/&#8226;%09https:/humanrights.gov.au/sites/default/files/GPGB_disability_discrimination.pdf" TargetMode="External"/><Relationship Id="rId20" Type="http://schemas.openxmlformats.org/officeDocument/2006/relationships/hyperlink" Target="https://www.library.gov.au/visit/about-us/corporate-information/access-and-inclusion-policies-and-plans/disability-in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urism.australia.com/en/about/industry-sectors/accessible-tourism.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A0rLKe6B6j8?si=oif4u-rlSK8eZH6C" TargetMode="External"/><Relationship Id="rId23" Type="http://schemas.openxmlformats.org/officeDocument/2006/relationships/fontTable" Target="fontTable.xml"/><Relationship Id="rId10" Type="http://schemas.openxmlformats.org/officeDocument/2006/relationships/hyperlink" Target="https://humanrights.gov.au/sites/default/files/AHRC_2016_GPGB_access_for_all.pdf" TargetMode="External"/><Relationship Id="rId19" Type="http://schemas.openxmlformats.org/officeDocument/2006/relationships/hyperlink" Target="https://www.disabilitygateway.gov.au/sites/default/files/documents/2021-11/1766-strategy-factsheet.pdf" TargetMode="External"/><Relationship Id="rId4" Type="http://schemas.openxmlformats.org/officeDocument/2006/relationships/webSettings" Target="webSettings.xml"/><Relationship Id="rId9" Type="http://schemas.openxmlformats.org/officeDocument/2006/relationships/hyperlink" Target="https://iris.peabody.vanderbilt.edu/module/udl/cresource/q1/p01/" TargetMode="External"/><Relationship Id="rId14" Type="http://schemas.openxmlformats.org/officeDocument/2006/relationships/hyperlink" Target="https://australiandisabilitynetwork.org.au/resources/disability-statistics/what-is-disabili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Ryser</dc:creator>
  <cp:keywords/>
  <dc:description/>
  <cp:lastModifiedBy>Krile, Maryjo</cp:lastModifiedBy>
  <cp:revision>2</cp:revision>
  <dcterms:created xsi:type="dcterms:W3CDTF">2025-07-23T13:02:00Z</dcterms:created>
  <dcterms:modified xsi:type="dcterms:W3CDTF">2025-07-23T13:02:00Z</dcterms:modified>
</cp:coreProperties>
</file>